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ג'מילה ג'בארין כליפה</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608D7" w:rsidRDefault="005D4E8C">
                <w:pPr>
                  <w:rPr>
                    <w:rFonts w:ascii="Arial (W1)" w:hAnsi="Arial (W1)"/>
                    <w:b/>
                    <w:bCs/>
                    <w:noProof w:val="0"/>
                    <w:sz w:val="28"/>
                    <w:szCs w:val="28"/>
                  </w:rPr>
                </w:pPr>
                <w:r>
                  <w:rPr>
                    <w:rFonts w:hint="cs"/>
                    <w:b/>
                    <w:bCs/>
                    <w:noProof w:val="0"/>
                    <w:sz w:val="28"/>
                    <w:rtl/>
                  </w:rPr>
                  <w:t>מבקשים</w:t>
                </w:r>
              </w:p>
            </w:sdtContent>
          </w:sdt>
        </w:tc>
        <w:tc>
          <w:tcPr>
            <w:tcW w:w="5571" w:type="dxa"/>
          </w:tcPr>
          <w:p w:rsidR="006816EC" w:rsidRDefault="006816EC">
            <w:pPr>
              <w:rPr>
                <w:rFonts w:ascii="Arial (W1)" w:hAnsi="Arial (W1)"/>
                <w:b/>
                <w:bCs/>
                <w:noProof w:val="0"/>
                <w:sz w:val="28"/>
                <w:szCs w:val="28"/>
                <w:rtl/>
              </w:rPr>
            </w:pPr>
          </w:p>
          <w:p w:rsidR="006816EC" w:rsidRDefault="00F90773" w:rsidP="00893D05">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893D05">
              <w:rPr>
                <w:rFonts w:hint="cs"/>
                <w:b/>
                <w:bCs/>
                <w:noProof w:val="0"/>
                <w:sz w:val="28"/>
                <w:rtl/>
              </w:rPr>
              <w:t>.פלוני</w:t>
            </w:r>
          </w:p>
          <w:p w:rsidR="006816EC" w:rsidRDefault="00F90773" w:rsidP="00893D05">
            <w:pPr>
              <w:rPr>
                <w:b/>
                <w:bCs/>
                <w:noProof w:val="0"/>
                <w:sz w:val="28"/>
                <w:rtl/>
              </w:rPr>
            </w:pPr>
            <w:sdt>
              <w:sdtPr>
                <w:rPr>
                  <w:rFonts w:hint="cs"/>
                  <w:b/>
                  <w:bCs/>
                  <w:noProof w:val="0"/>
                  <w:sz w:val="28"/>
                  <w:rtl/>
                </w:rPr>
                <w:alias w:val="1462"/>
                <w:tag w:val="1462"/>
                <w:id w:val="-466747816"/>
                <w:text w:multiLine="1"/>
              </w:sdtPr>
              <w:sdtEndPr/>
              <w:sdtContent>
                <w:r w:rsidR="00FB3C14">
                  <w:rPr>
                    <w:rFonts w:hint="cs"/>
                    <w:b/>
                    <w:bCs/>
                    <w:noProof w:val="0"/>
                    <w:sz w:val="28"/>
                    <w:rtl/>
                  </w:rPr>
                  <w:t>2</w:t>
                </w:r>
              </w:sdtContent>
            </w:sdt>
            <w:r w:rsidR="006816EC">
              <w:rPr>
                <w:rFonts w:hint="cs"/>
                <w:b/>
                <w:bCs/>
                <w:noProof w:val="0"/>
                <w:sz w:val="28"/>
                <w:rtl/>
              </w:rPr>
              <w:t>.</w:t>
            </w:r>
            <w:r w:rsidR="00893D05">
              <w:rPr>
                <w:rFonts w:hint="cs"/>
                <w:b/>
                <w:bCs/>
                <w:noProof w:val="0"/>
                <w:sz w:val="28"/>
                <w:rtl/>
              </w:rPr>
              <w:t>פלונית</w:t>
            </w:r>
          </w:p>
          <w:p w:rsidR="002D5FA0" w:rsidRPr="002D5FA0" w:rsidRDefault="002D5FA0">
            <w:pPr>
              <w:rPr>
                <w:rFonts w:ascii="Arial (W1)" w:hAnsi="Arial (W1)"/>
                <w:noProof w:val="0"/>
                <w:sz w:val="28"/>
                <w:szCs w:val="28"/>
              </w:rPr>
            </w:pPr>
            <w:r w:rsidRPr="002D5FA0">
              <w:rPr>
                <w:rFonts w:ascii="Arial (W1)" w:hAnsi="Arial (W1)" w:hint="cs"/>
                <w:noProof w:val="0"/>
                <w:sz w:val="28"/>
                <w:rtl/>
              </w:rPr>
              <w:t>ע"י ב"כ עו"ד יוחיא בטאש ו/או אמאל ח</w:t>
            </w:r>
            <w:r w:rsidR="00083248">
              <w:rPr>
                <w:rFonts w:ascii="Arial (W1)" w:hAnsi="Arial (W1)" w:hint="cs"/>
                <w:noProof w:val="0"/>
                <w:sz w:val="28"/>
                <w:rtl/>
              </w:rPr>
              <w:t>'</w:t>
            </w:r>
            <w:r w:rsidRPr="002D5FA0">
              <w:rPr>
                <w:rFonts w:ascii="Arial (W1)" w:hAnsi="Arial (W1)" w:hint="cs"/>
                <w:noProof w:val="0"/>
                <w:sz w:val="28"/>
                <w:rtl/>
              </w:rPr>
              <w:t>מיס</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F90773">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6816EC">
            <w:pPr>
              <w:rPr>
                <w:rFonts w:ascii="Arial (W1)" w:hAnsi="Arial (W1)"/>
                <w:b/>
                <w:bCs/>
                <w:noProof w:val="0"/>
                <w:sz w:val="28"/>
                <w:szCs w:val="28"/>
                <w:rtl/>
              </w:rPr>
            </w:pPr>
          </w:p>
          <w:p w:rsidR="006816EC" w:rsidRDefault="00F90773" w:rsidP="00893D05">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r w:rsidR="00893D05">
              <w:rPr>
                <w:rFonts w:hint="cs"/>
                <w:b/>
                <w:bCs/>
                <w:noProof w:val="0"/>
                <w:sz w:val="28"/>
                <w:rtl/>
              </w:rPr>
              <w:t>פלוני</w:t>
            </w:r>
            <w:r w:rsidR="00E44DDF">
              <w:rPr>
                <w:rFonts w:hint="cs"/>
                <w:rtl/>
              </w:rPr>
              <w:t xml:space="preserve"> </w:t>
            </w:r>
          </w:p>
          <w:p w:rsidR="006816EC" w:rsidRDefault="00F90773" w:rsidP="00893D05">
            <w:pPr>
              <w:rPr>
                <w:rFonts w:ascii="Arial" w:hAnsi="Arial"/>
                <w:b/>
                <w:bCs/>
                <w:noProof w:val="0"/>
                <w:sz w:val="26"/>
                <w:szCs w:val="26"/>
                <w:rtl/>
              </w:rPr>
            </w:pPr>
            <w:sdt>
              <w:sdtPr>
                <w:rPr>
                  <w:rFonts w:hint="cs"/>
                  <w:rtl/>
                </w:rPr>
                <w:alias w:val="1571"/>
                <w:tag w:val="1571"/>
                <w:id w:val="-450786724"/>
                <w:text w:multiLine="1"/>
              </w:sdtPr>
              <w:sdtEndPr/>
              <w:sdtContent>
                <w:r w:rsidR="00FB3C14">
                  <w:rPr>
                    <w:rFonts w:hint="cs"/>
                    <w:b/>
                    <w:bCs/>
                    <w:noProof w:val="0"/>
                    <w:sz w:val="28"/>
                    <w:rtl/>
                  </w:rPr>
                  <w:t>2</w:t>
                </w:r>
              </w:sdtContent>
            </w:sdt>
            <w:r w:rsidR="006816EC">
              <w:rPr>
                <w:rFonts w:hint="cs"/>
                <w:b/>
                <w:bCs/>
                <w:noProof w:val="0"/>
                <w:sz w:val="28"/>
                <w:rtl/>
              </w:rPr>
              <w:t>.</w:t>
            </w:r>
            <w:r w:rsidR="00893D05">
              <w:rPr>
                <w:rFonts w:hint="cs"/>
                <w:b/>
                <w:bCs/>
                <w:noProof w:val="0"/>
                <w:sz w:val="28"/>
                <w:rtl/>
              </w:rPr>
              <w:t>פלונית</w:t>
            </w:r>
            <w:r w:rsidR="00E44DDF">
              <w:rPr>
                <w:rFonts w:hint="cs"/>
                <w:rtl/>
              </w:rPr>
              <w:t xml:space="preserve"> </w:t>
            </w:r>
          </w:p>
          <w:p w:rsidR="002D5FA0" w:rsidRPr="002D5FA0" w:rsidRDefault="002D5FA0">
            <w:pPr>
              <w:rPr>
                <w:rFonts w:ascii="Arial (W1)" w:hAnsi="Arial (W1)"/>
                <w:noProof w:val="0"/>
              </w:rPr>
            </w:pPr>
            <w:r w:rsidRPr="002D5FA0">
              <w:rPr>
                <w:rFonts w:ascii="Arial (W1)" w:hAnsi="Arial (W1)" w:hint="cs"/>
                <w:noProof w:val="0"/>
                <w:rtl/>
              </w:rPr>
              <w:t>ע"י ב"כ עו"ד דוד דרעי</w:t>
            </w:r>
          </w:p>
        </w:tc>
      </w:tr>
    </w:tbl>
    <w:p w:rsidR="006816EC" w:rsidRDefault="006816EC" w:rsidP="003823DA">
      <w:pPr>
        <w:suppressLineNumbers/>
        <w:rPr>
          <w:rtl/>
        </w:rPr>
      </w:pPr>
    </w:p>
    <w:p w:rsidR="00083248" w:rsidRDefault="00083248" w:rsidP="003823DA">
      <w:pPr>
        <w:suppressLineNumbers/>
      </w:pP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D4E8C" w:rsidRPr="006A3A60" w:rsidRDefault="005D4E8C" w:rsidP="005D4E8C">
      <w:pPr>
        <w:jc w:val="both"/>
        <w:rPr>
          <w:rFonts w:ascii="David" w:hAnsi="David"/>
          <w:b/>
          <w:bCs/>
          <w:u w:val="single"/>
          <w:rtl/>
        </w:rPr>
      </w:pPr>
    </w:p>
    <w:p w:rsidR="005D4E8C" w:rsidRDefault="005D4E8C" w:rsidP="002931B7">
      <w:pPr>
        <w:spacing w:line="360" w:lineRule="auto"/>
        <w:jc w:val="both"/>
        <w:rPr>
          <w:rFonts w:ascii="David" w:hAnsi="David"/>
          <w:rtl/>
        </w:rPr>
      </w:pPr>
      <w:r w:rsidRPr="006A3A60">
        <w:rPr>
          <w:rFonts w:ascii="David" w:hAnsi="David" w:hint="cs"/>
          <w:rtl/>
        </w:rPr>
        <w:t>לפני</w:t>
      </w:r>
      <w:r w:rsidR="007B5559">
        <w:rPr>
          <w:rFonts w:ascii="David" w:hAnsi="David" w:hint="cs"/>
          <w:rtl/>
        </w:rPr>
        <w:t>י</w:t>
      </w:r>
      <w:r w:rsidRPr="006A3A60">
        <w:rPr>
          <w:rFonts w:ascii="David" w:hAnsi="David" w:hint="cs"/>
          <w:rtl/>
        </w:rPr>
        <w:t xml:space="preserve"> תביעה</w:t>
      </w:r>
      <w:r>
        <w:rPr>
          <w:rFonts w:ascii="David" w:hAnsi="David" w:hint="cs"/>
          <w:rtl/>
        </w:rPr>
        <w:t xml:space="preserve"> לביטול פסק </w:t>
      </w:r>
      <w:r w:rsidRPr="006A3A60">
        <w:rPr>
          <w:rFonts w:ascii="David" w:hAnsi="David" w:hint="cs"/>
          <w:rtl/>
        </w:rPr>
        <w:t>בורר</w:t>
      </w:r>
      <w:r>
        <w:rPr>
          <w:rFonts w:ascii="David" w:hAnsi="David" w:hint="cs"/>
          <w:rtl/>
        </w:rPr>
        <w:t>ו</w:t>
      </w:r>
      <w:r w:rsidRPr="006A3A60">
        <w:rPr>
          <w:rFonts w:ascii="David" w:hAnsi="David" w:hint="cs"/>
          <w:rtl/>
        </w:rPr>
        <w:t xml:space="preserve">ת מיום </w:t>
      </w:r>
      <w:r w:rsidR="002D5FA0">
        <w:rPr>
          <w:rFonts w:ascii="David" w:hAnsi="David" w:hint="cs"/>
          <w:rtl/>
        </w:rPr>
        <w:t>12/4/2020</w:t>
      </w:r>
      <w:r w:rsidR="007B5559">
        <w:rPr>
          <w:rFonts w:ascii="David" w:hAnsi="David" w:hint="cs"/>
          <w:rtl/>
        </w:rPr>
        <w:t xml:space="preserve">, </w:t>
      </w:r>
      <w:r w:rsidR="002D5FA0">
        <w:rPr>
          <w:rFonts w:ascii="David" w:hAnsi="David" w:hint="cs"/>
          <w:rtl/>
        </w:rPr>
        <w:t>שניתן ע"י כב' השופטת בדימוס נחמה מוניץ, ו</w:t>
      </w:r>
      <w:r w:rsidRPr="006A3A60">
        <w:rPr>
          <w:rFonts w:ascii="David" w:hAnsi="David" w:hint="cs"/>
          <w:rtl/>
        </w:rPr>
        <w:t>תביעה לביטול הליך הבוררות</w:t>
      </w:r>
      <w:r>
        <w:rPr>
          <w:rFonts w:ascii="David" w:hAnsi="David" w:hint="cs"/>
          <w:rtl/>
        </w:rPr>
        <w:t>, העברת בורר מתפקידו ומינוי בורר חליף.</w:t>
      </w:r>
    </w:p>
    <w:p w:rsidR="002D5FA0" w:rsidRDefault="002D5FA0" w:rsidP="002931B7">
      <w:pPr>
        <w:spacing w:line="360" w:lineRule="auto"/>
        <w:jc w:val="both"/>
        <w:rPr>
          <w:rFonts w:ascii="David" w:hAnsi="David"/>
          <w:rtl/>
        </w:rPr>
      </w:pPr>
    </w:p>
    <w:p w:rsidR="005D4E8C" w:rsidRPr="003502C6" w:rsidRDefault="002D5FA0" w:rsidP="002931B7">
      <w:pPr>
        <w:spacing w:line="360" w:lineRule="auto"/>
        <w:jc w:val="both"/>
        <w:rPr>
          <w:rFonts w:ascii="David" w:hAnsi="David"/>
          <w:b/>
          <w:bCs/>
          <w:sz w:val="28"/>
          <w:szCs w:val="28"/>
          <w:u w:val="single"/>
        </w:rPr>
      </w:pPr>
      <w:r w:rsidRPr="003502C6">
        <w:rPr>
          <w:rFonts w:ascii="David" w:hAnsi="David" w:hint="cs"/>
          <w:b/>
          <w:bCs/>
          <w:sz w:val="28"/>
          <w:szCs w:val="28"/>
          <w:u w:val="single"/>
          <w:rtl/>
        </w:rPr>
        <w:t>רקע עובדתי</w:t>
      </w:r>
    </w:p>
    <w:p w:rsidR="005D4E8C" w:rsidRPr="006A3A60" w:rsidRDefault="002D5FA0"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התובעי</w:t>
      </w:r>
      <w:r w:rsidR="00D96558">
        <w:rPr>
          <w:rFonts w:ascii="David" w:hAnsi="David" w:cs="David" w:hint="cs"/>
          <w:sz w:val="24"/>
          <w:szCs w:val="24"/>
          <w:rtl/>
        </w:rPr>
        <w:t xml:space="preserve">ם 1-2 הם הוריו של הנתבע מס' 1, </w:t>
      </w:r>
      <w:r>
        <w:rPr>
          <w:rFonts w:ascii="David" w:hAnsi="David" w:cs="David" w:hint="cs"/>
          <w:sz w:val="24"/>
          <w:szCs w:val="24"/>
          <w:rtl/>
        </w:rPr>
        <w:t>והנתבעת מס' 2 היא אשתו.</w:t>
      </w:r>
    </w:p>
    <w:p w:rsidR="005D4E8C" w:rsidRPr="006A3A60" w:rsidRDefault="005D4E8C" w:rsidP="002931B7">
      <w:pPr>
        <w:pStyle w:val="af"/>
        <w:spacing w:line="360" w:lineRule="auto"/>
        <w:jc w:val="both"/>
        <w:rPr>
          <w:rFonts w:ascii="David" w:hAnsi="David" w:cs="David"/>
          <w:sz w:val="24"/>
          <w:szCs w:val="24"/>
        </w:rPr>
      </w:pPr>
    </w:p>
    <w:p w:rsidR="005D4E8C" w:rsidRDefault="005D4E8C" w:rsidP="00893D05">
      <w:pPr>
        <w:pStyle w:val="af"/>
        <w:numPr>
          <w:ilvl w:val="0"/>
          <w:numId w:val="2"/>
        </w:numPr>
        <w:spacing w:line="360" w:lineRule="auto"/>
        <w:jc w:val="both"/>
        <w:rPr>
          <w:rFonts w:ascii="David" w:hAnsi="David" w:cs="David"/>
          <w:sz w:val="24"/>
          <w:szCs w:val="24"/>
        </w:rPr>
      </w:pPr>
      <w:r w:rsidRPr="006A3A60">
        <w:rPr>
          <w:rFonts w:ascii="David" w:hAnsi="David" w:cs="David" w:hint="cs"/>
          <w:sz w:val="24"/>
          <w:szCs w:val="24"/>
          <w:rtl/>
        </w:rPr>
        <w:t>בין הצדדים ניטש סכסוך ארוך ומתמ</w:t>
      </w:r>
      <w:r w:rsidR="00930F43">
        <w:rPr>
          <w:rFonts w:ascii="David" w:hAnsi="David" w:cs="David" w:hint="cs"/>
          <w:sz w:val="24"/>
          <w:szCs w:val="24"/>
          <w:rtl/>
        </w:rPr>
        <w:t xml:space="preserve">שך, וביניהם מספר הליכים משפטיים, לרבות בעניין הזכויות בדירה </w:t>
      </w:r>
      <w:r w:rsidRPr="006A3A60">
        <w:rPr>
          <w:rFonts w:ascii="David" w:hAnsi="David" w:cs="David" w:hint="cs"/>
          <w:sz w:val="24"/>
          <w:szCs w:val="24"/>
          <w:rtl/>
        </w:rPr>
        <w:t xml:space="preserve"> </w:t>
      </w:r>
      <w:r w:rsidR="00930F43" w:rsidRPr="00930F43">
        <w:rPr>
          <w:rFonts w:ascii="David" w:hAnsi="David" w:cs="David"/>
          <w:sz w:val="24"/>
          <w:szCs w:val="24"/>
          <w:rtl/>
        </w:rPr>
        <w:t xml:space="preserve">הידועה כחלקה </w:t>
      </w:r>
      <w:r w:rsidR="00893D05">
        <w:rPr>
          <w:rFonts w:ascii="David" w:hAnsi="David" w:cs="David" w:hint="cs"/>
          <w:sz w:val="24"/>
          <w:szCs w:val="24"/>
        </w:rPr>
        <w:t>X</w:t>
      </w:r>
      <w:r w:rsidR="00893D05">
        <w:rPr>
          <w:rFonts w:ascii="David" w:hAnsi="David" w:cs="David" w:hint="cs"/>
          <w:sz w:val="24"/>
          <w:szCs w:val="24"/>
          <w:rtl/>
        </w:rPr>
        <w:t xml:space="preserve"> </w:t>
      </w:r>
      <w:r w:rsidR="00930F43" w:rsidRPr="00930F43">
        <w:rPr>
          <w:rFonts w:ascii="David" w:hAnsi="David" w:cs="David"/>
          <w:sz w:val="24"/>
          <w:szCs w:val="24"/>
          <w:rtl/>
        </w:rPr>
        <w:t>גוש</w:t>
      </w:r>
      <w:r w:rsidR="00893D05">
        <w:rPr>
          <w:rFonts w:ascii="David" w:hAnsi="David" w:cs="David" w:hint="cs"/>
          <w:sz w:val="24"/>
          <w:szCs w:val="24"/>
          <w:rtl/>
        </w:rPr>
        <w:t xml:space="preserve"> </w:t>
      </w:r>
      <w:r w:rsidR="00893D05">
        <w:rPr>
          <w:rFonts w:ascii="David" w:hAnsi="David" w:cs="David" w:hint="cs"/>
          <w:sz w:val="24"/>
          <w:szCs w:val="24"/>
        </w:rPr>
        <w:t>X</w:t>
      </w:r>
      <w:r w:rsidR="00893D05">
        <w:rPr>
          <w:rFonts w:ascii="David" w:hAnsi="David" w:cs="David" w:hint="cs"/>
          <w:sz w:val="24"/>
          <w:szCs w:val="24"/>
          <w:rtl/>
        </w:rPr>
        <w:t xml:space="preserve"> </w:t>
      </w:r>
      <w:r w:rsidR="00893D05">
        <w:rPr>
          <w:rFonts w:ascii="David" w:hAnsi="David" w:cs="David"/>
          <w:sz w:val="24"/>
          <w:szCs w:val="24"/>
          <w:rtl/>
        </w:rPr>
        <w:t xml:space="preserve"> בע</w:t>
      </w:r>
      <w:r w:rsidR="00893D05">
        <w:rPr>
          <w:rFonts w:ascii="David" w:hAnsi="David" w:cs="David" w:hint="cs"/>
          <w:sz w:val="24"/>
          <w:szCs w:val="24"/>
          <w:rtl/>
        </w:rPr>
        <w:t xml:space="preserve">יר </w:t>
      </w:r>
      <w:r w:rsidR="00893D05">
        <w:rPr>
          <w:rFonts w:ascii="David" w:hAnsi="David" w:cs="David" w:hint="cs"/>
          <w:sz w:val="24"/>
          <w:szCs w:val="24"/>
        </w:rPr>
        <w:t>X</w:t>
      </w:r>
      <w:r w:rsidR="00893D05">
        <w:rPr>
          <w:rFonts w:ascii="David" w:hAnsi="David" w:cs="David" w:hint="cs"/>
          <w:sz w:val="24"/>
          <w:szCs w:val="24"/>
          <w:rtl/>
        </w:rPr>
        <w:t xml:space="preserve"> </w:t>
      </w:r>
      <w:r w:rsidR="00930F43" w:rsidRPr="00930F43">
        <w:rPr>
          <w:rFonts w:ascii="David" w:hAnsi="David" w:cs="David"/>
          <w:sz w:val="24"/>
          <w:szCs w:val="24"/>
          <w:rtl/>
        </w:rPr>
        <w:t>(להלן: הדירה</w:t>
      </w:r>
      <w:r w:rsidR="00083248">
        <w:rPr>
          <w:rFonts w:ascii="David" w:hAnsi="David" w:cs="David" w:hint="cs"/>
          <w:sz w:val="24"/>
          <w:szCs w:val="24"/>
          <w:rtl/>
        </w:rPr>
        <w:t>-הנכס</w:t>
      </w:r>
      <w:r w:rsidR="00930F43" w:rsidRPr="00930F43">
        <w:rPr>
          <w:rFonts w:ascii="David" w:hAnsi="David" w:cs="David"/>
          <w:sz w:val="24"/>
          <w:szCs w:val="24"/>
          <w:rtl/>
        </w:rPr>
        <w:t>")</w:t>
      </w:r>
      <w:r w:rsidR="00930F43">
        <w:rPr>
          <w:rFonts w:ascii="David" w:hAnsi="David" w:cs="David" w:hint="cs"/>
          <w:sz w:val="24"/>
          <w:szCs w:val="24"/>
          <w:rtl/>
        </w:rPr>
        <w:t>. מדובר בדירה שקיבל הנתבע  בירושה מסבתו בשנת 2004 ו/או בסמוך לכך, ובהמשך שימשה למגורי הנתבע ובני משפחתו עד היום.</w:t>
      </w:r>
      <w:r w:rsidR="00100E19">
        <w:rPr>
          <w:rFonts w:ascii="David" w:hAnsi="David" w:cs="David" w:hint="cs"/>
          <w:sz w:val="24"/>
          <w:szCs w:val="24"/>
          <w:rtl/>
        </w:rPr>
        <w:t xml:space="preserve"> </w:t>
      </w:r>
    </w:p>
    <w:p w:rsidR="004F7D4B" w:rsidRDefault="00100E19" w:rsidP="002931B7">
      <w:pPr>
        <w:pStyle w:val="af"/>
        <w:spacing w:line="360" w:lineRule="auto"/>
        <w:ind w:left="360"/>
        <w:jc w:val="both"/>
        <w:rPr>
          <w:rFonts w:ascii="David" w:hAnsi="David" w:cs="David"/>
          <w:sz w:val="24"/>
          <w:szCs w:val="24"/>
          <w:rtl/>
        </w:rPr>
      </w:pPr>
      <w:r>
        <w:rPr>
          <w:rFonts w:ascii="David" w:hAnsi="David" w:cs="David" w:hint="cs"/>
          <w:sz w:val="24"/>
          <w:szCs w:val="24"/>
          <w:rtl/>
        </w:rPr>
        <w:t xml:space="preserve">ביום 3/11/2004 </w:t>
      </w:r>
      <w:r w:rsidRPr="00100E19">
        <w:rPr>
          <w:rFonts w:ascii="David" w:hAnsi="David" w:cs="David"/>
          <w:sz w:val="24"/>
          <w:szCs w:val="24"/>
          <w:rtl/>
        </w:rPr>
        <w:t>חתמו התובעים והנתבע</w:t>
      </w:r>
      <w:r w:rsidR="00083248">
        <w:rPr>
          <w:rFonts w:ascii="David" w:hAnsi="David" w:cs="David" w:hint="cs"/>
          <w:sz w:val="24"/>
          <w:szCs w:val="24"/>
          <w:rtl/>
        </w:rPr>
        <w:t xml:space="preserve"> על תצהירי מתנה, </w:t>
      </w:r>
      <w:r w:rsidRPr="00100E19">
        <w:rPr>
          <w:rFonts w:ascii="David" w:hAnsi="David" w:cs="David"/>
          <w:sz w:val="24"/>
          <w:szCs w:val="24"/>
          <w:rtl/>
        </w:rPr>
        <w:t>ולפיהם העניק הנתבע  לכל אחד מה</w:t>
      </w:r>
      <w:r w:rsidR="00083248">
        <w:rPr>
          <w:rFonts w:ascii="David" w:hAnsi="David" w:cs="David" w:hint="cs"/>
          <w:sz w:val="24"/>
          <w:szCs w:val="24"/>
          <w:rtl/>
        </w:rPr>
        <w:t>וריו-ה</w:t>
      </w:r>
      <w:r w:rsidRPr="00100E19">
        <w:rPr>
          <w:rFonts w:ascii="David" w:hAnsi="David" w:cs="David"/>
          <w:sz w:val="24"/>
          <w:szCs w:val="24"/>
          <w:rtl/>
        </w:rPr>
        <w:t>תובעים 37.5% מהזכויות בדירה</w:t>
      </w:r>
      <w:r>
        <w:rPr>
          <w:rFonts w:ascii="David" w:hAnsi="David" w:cs="David" w:hint="cs"/>
          <w:sz w:val="24"/>
          <w:szCs w:val="24"/>
          <w:rtl/>
        </w:rPr>
        <w:t>.</w:t>
      </w:r>
      <w:r w:rsidR="00293EDD">
        <w:rPr>
          <w:rFonts w:ascii="David" w:hAnsi="David" w:cs="David" w:hint="cs"/>
          <w:sz w:val="24"/>
          <w:szCs w:val="24"/>
          <w:rtl/>
        </w:rPr>
        <w:t xml:space="preserve"> </w:t>
      </w:r>
    </w:p>
    <w:p w:rsidR="0047729D" w:rsidRDefault="004F7D4B" w:rsidP="00893D05">
      <w:pPr>
        <w:pStyle w:val="af"/>
        <w:spacing w:line="360" w:lineRule="auto"/>
        <w:ind w:left="360"/>
        <w:jc w:val="both"/>
        <w:rPr>
          <w:rFonts w:ascii="David" w:hAnsi="David" w:cs="David"/>
          <w:sz w:val="24"/>
          <w:szCs w:val="24"/>
          <w:rtl/>
        </w:rPr>
      </w:pPr>
      <w:r>
        <w:rPr>
          <w:rFonts w:ascii="David" w:hAnsi="David" w:cs="David" w:hint="cs"/>
          <w:sz w:val="24"/>
          <w:szCs w:val="24"/>
          <w:rtl/>
        </w:rPr>
        <w:t>הדירה רשומה בלשכת רישום המקרקעין על שם</w:t>
      </w:r>
      <w:r w:rsidR="00083248">
        <w:rPr>
          <w:rFonts w:ascii="David" w:hAnsi="David" w:cs="David" w:hint="cs"/>
          <w:sz w:val="24"/>
          <w:szCs w:val="24"/>
          <w:rtl/>
        </w:rPr>
        <w:t xml:space="preserve"> שכונת עובדים </w:t>
      </w:r>
      <w:r w:rsidR="00893D05">
        <w:rPr>
          <w:rFonts w:ascii="David" w:hAnsi="David" w:cs="David" w:hint="cs"/>
          <w:sz w:val="24"/>
          <w:szCs w:val="24"/>
          <w:rtl/>
        </w:rPr>
        <w:t>ב</w:t>
      </w:r>
      <w:r w:rsidR="00893D05">
        <w:rPr>
          <w:rFonts w:ascii="David" w:hAnsi="David" w:cs="David" w:hint="cs"/>
          <w:sz w:val="24"/>
          <w:szCs w:val="24"/>
        </w:rPr>
        <w:t>X</w:t>
      </w:r>
      <w:r w:rsidR="00893D05">
        <w:rPr>
          <w:rFonts w:ascii="David" w:hAnsi="David" w:cs="David" w:hint="cs"/>
          <w:sz w:val="24"/>
          <w:szCs w:val="24"/>
          <w:rtl/>
        </w:rPr>
        <w:t xml:space="preserve"> </w:t>
      </w:r>
      <w:r w:rsidR="00083248">
        <w:rPr>
          <w:rFonts w:ascii="David" w:hAnsi="David" w:cs="David" w:hint="cs"/>
          <w:sz w:val="24"/>
          <w:szCs w:val="24"/>
          <w:rtl/>
        </w:rPr>
        <w:t>כחוכר ראשי</w:t>
      </w:r>
      <w:r>
        <w:rPr>
          <w:rFonts w:ascii="David" w:hAnsi="David" w:cs="David" w:hint="cs"/>
          <w:sz w:val="24"/>
          <w:szCs w:val="24"/>
          <w:rtl/>
        </w:rPr>
        <w:t>,</w:t>
      </w:r>
      <w:r w:rsidR="00083248">
        <w:rPr>
          <w:rFonts w:ascii="David" w:hAnsi="David" w:cs="David" w:hint="cs"/>
          <w:sz w:val="24"/>
          <w:szCs w:val="24"/>
          <w:rtl/>
        </w:rPr>
        <w:t xml:space="preserve"> </w:t>
      </w:r>
      <w:r>
        <w:rPr>
          <w:rFonts w:ascii="David" w:hAnsi="David" w:cs="David" w:hint="cs"/>
          <w:sz w:val="24"/>
          <w:szCs w:val="24"/>
          <w:rtl/>
        </w:rPr>
        <w:t xml:space="preserve">הנתבע נרשם כבעל זכות חכירה משנית </w:t>
      </w:r>
      <w:r w:rsidR="00100E19">
        <w:rPr>
          <w:rFonts w:ascii="David" w:hAnsi="David" w:cs="David" w:hint="cs"/>
          <w:sz w:val="24"/>
          <w:szCs w:val="24"/>
          <w:rtl/>
        </w:rPr>
        <w:t xml:space="preserve"> ביום 5/9/2010.</w:t>
      </w:r>
    </w:p>
    <w:p w:rsidR="004F7D4B" w:rsidRPr="00100E19" w:rsidRDefault="004F7D4B" w:rsidP="002931B7">
      <w:pPr>
        <w:pStyle w:val="af"/>
        <w:spacing w:line="360" w:lineRule="auto"/>
        <w:ind w:left="360"/>
        <w:jc w:val="both"/>
        <w:rPr>
          <w:rFonts w:ascii="David" w:hAnsi="David" w:cs="David"/>
          <w:sz w:val="24"/>
          <w:szCs w:val="24"/>
          <w:rtl/>
        </w:rPr>
      </w:pPr>
      <w:r>
        <w:rPr>
          <w:rFonts w:ascii="David" w:hAnsi="David" w:cs="David" w:hint="cs"/>
          <w:sz w:val="24"/>
          <w:szCs w:val="24"/>
          <w:rtl/>
        </w:rPr>
        <w:t>לט</w:t>
      </w:r>
      <w:r w:rsidR="00D96558">
        <w:rPr>
          <w:rFonts w:ascii="David" w:hAnsi="David" w:cs="David" w:hint="cs"/>
          <w:sz w:val="24"/>
          <w:szCs w:val="24"/>
          <w:rtl/>
        </w:rPr>
        <w:t>ובת התובעים נרשמה הערת אזהרה על</w:t>
      </w:r>
      <w:r>
        <w:rPr>
          <w:rFonts w:ascii="David" w:hAnsi="David" w:cs="David" w:hint="cs"/>
          <w:sz w:val="24"/>
          <w:szCs w:val="24"/>
          <w:rtl/>
        </w:rPr>
        <w:t xml:space="preserve"> הזכות של הנתבע.</w:t>
      </w:r>
    </w:p>
    <w:p w:rsidR="005D4E8C" w:rsidRPr="006A3A60" w:rsidRDefault="005D4E8C" w:rsidP="002931B7">
      <w:pPr>
        <w:pStyle w:val="af"/>
        <w:spacing w:line="360" w:lineRule="auto"/>
        <w:jc w:val="both"/>
        <w:rPr>
          <w:rFonts w:ascii="David" w:hAnsi="David" w:cs="David"/>
          <w:sz w:val="24"/>
          <w:szCs w:val="24"/>
          <w:rtl/>
        </w:rPr>
      </w:pPr>
    </w:p>
    <w:p w:rsidR="005D4E8C" w:rsidRDefault="005D4E8C" w:rsidP="002931B7">
      <w:pPr>
        <w:pStyle w:val="af"/>
        <w:numPr>
          <w:ilvl w:val="0"/>
          <w:numId w:val="2"/>
        </w:numPr>
        <w:spacing w:line="360" w:lineRule="auto"/>
        <w:jc w:val="both"/>
        <w:rPr>
          <w:rFonts w:ascii="David" w:hAnsi="David" w:cs="David"/>
          <w:b/>
          <w:bCs/>
          <w:sz w:val="24"/>
          <w:szCs w:val="24"/>
        </w:rPr>
      </w:pPr>
      <w:r w:rsidRPr="00146385">
        <w:rPr>
          <w:rFonts w:ascii="David" w:hAnsi="David" w:cs="David" w:hint="cs"/>
          <w:sz w:val="24"/>
          <w:szCs w:val="24"/>
          <w:rtl/>
        </w:rPr>
        <w:t xml:space="preserve"> </w:t>
      </w:r>
      <w:r w:rsidR="00EB01EC">
        <w:rPr>
          <w:rFonts w:ascii="David" w:hAnsi="David" w:cs="David" w:hint="cs"/>
          <w:sz w:val="24"/>
          <w:szCs w:val="24"/>
          <w:rtl/>
        </w:rPr>
        <w:t>התובעים הגישו בשנת 2011 תביעה לבית המשפט לענייני משפחה בנצרת</w:t>
      </w:r>
      <w:r w:rsidR="00083248">
        <w:rPr>
          <w:rFonts w:ascii="David" w:hAnsi="David" w:cs="David" w:hint="cs"/>
          <w:sz w:val="24"/>
          <w:szCs w:val="24"/>
          <w:rtl/>
        </w:rPr>
        <w:t>,</w:t>
      </w:r>
      <w:r w:rsidR="00EB01EC">
        <w:rPr>
          <w:rFonts w:ascii="David" w:hAnsi="David" w:cs="David" w:hint="cs"/>
          <w:sz w:val="24"/>
          <w:szCs w:val="24"/>
          <w:rtl/>
        </w:rPr>
        <w:t xml:space="preserve"> להצהיר כי הם בעלי 75% מהזכויות בדירה, התביעה נדחתה </w:t>
      </w:r>
      <w:r w:rsidR="00083248">
        <w:rPr>
          <w:rFonts w:ascii="David" w:hAnsi="David" w:cs="David" w:hint="cs"/>
          <w:sz w:val="24"/>
          <w:szCs w:val="24"/>
          <w:rtl/>
        </w:rPr>
        <w:t>ע"י ביהמ"ש  אשר קבע כ</w:t>
      </w:r>
      <w:r w:rsidR="00D96558">
        <w:rPr>
          <w:rFonts w:ascii="David" w:hAnsi="David" w:cs="David" w:hint="cs"/>
          <w:sz w:val="24"/>
          <w:szCs w:val="24"/>
          <w:rtl/>
        </w:rPr>
        <w:t>י עסקינן בהתחייבות לתת מתנה ולא במתנה שהושלמה.</w:t>
      </w:r>
      <w:r w:rsidR="00EB01EC">
        <w:rPr>
          <w:rFonts w:ascii="David" w:hAnsi="David" w:cs="David" w:hint="cs"/>
          <w:sz w:val="24"/>
          <w:szCs w:val="24"/>
          <w:rtl/>
        </w:rPr>
        <w:t xml:space="preserve"> ערעור שהוגש לבית המשפט המחוזי התקבל.</w:t>
      </w:r>
      <w:r w:rsidR="00083248">
        <w:rPr>
          <w:rFonts w:ascii="David" w:hAnsi="David" w:cs="David" w:hint="cs"/>
          <w:sz w:val="24"/>
          <w:szCs w:val="24"/>
          <w:rtl/>
        </w:rPr>
        <w:t xml:space="preserve"> </w:t>
      </w:r>
      <w:r w:rsidRPr="00146385">
        <w:rPr>
          <w:rFonts w:ascii="David" w:hAnsi="David" w:cs="David" w:hint="cs"/>
          <w:sz w:val="24"/>
          <w:szCs w:val="24"/>
          <w:rtl/>
        </w:rPr>
        <w:t>ביהמ</w:t>
      </w:r>
      <w:r w:rsidR="00205346" w:rsidRPr="00146385">
        <w:rPr>
          <w:rFonts w:ascii="David" w:hAnsi="David" w:cs="David" w:hint="cs"/>
          <w:sz w:val="24"/>
          <w:szCs w:val="24"/>
          <w:rtl/>
        </w:rPr>
        <w:t>"</w:t>
      </w:r>
      <w:r w:rsidRPr="00146385">
        <w:rPr>
          <w:rFonts w:ascii="David" w:hAnsi="David" w:cs="David" w:hint="cs"/>
          <w:sz w:val="24"/>
          <w:szCs w:val="24"/>
          <w:rtl/>
        </w:rPr>
        <w:t xml:space="preserve">ש </w:t>
      </w:r>
      <w:r w:rsidR="00205346" w:rsidRPr="00146385">
        <w:rPr>
          <w:rFonts w:ascii="David" w:hAnsi="David" w:cs="David" w:hint="cs"/>
          <w:sz w:val="24"/>
          <w:szCs w:val="24"/>
          <w:rtl/>
        </w:rPr>
        <w:t>ה</w:t>
      </w:r>
      <w:r w:rsidRPr="00146385">
        <w:rPr>
          <w:rFonts w:ascii="David" w:hAnsi="David" w:cs="David" w:hint="cs"/>
          <w:sz w:val="24"/>
          <w:szCs w:val="24"/>
          <w:rtl/>
        </w:rPr>
        <w:t xml:space="preserve">מחוזי </w:t>
      </w:r>
      <w:r w:rsidR="00146385" w:rsidRPr="00146385">
        <w:rPr>
          <w:rFonts w:ascii="David" w:hAnsi="David" w:cs="David" w:hint="cs"/>
          <w:sz w:val="24"/>
          <w:szCs w:val="24"/>
          <w:rtl/>
        </w:rPr>
        <w:t xml:space="preserve"> בנצרת </w:t>
      </w:r>
      <w:r w:rsidR="00083248">
        <w:rPr>
          <w:rFonts w:ascii="David" w:hAnsi="David" w:cs="David" w:hint="cs"/>
          <w:sz w:val="24"/>
          <w:szCs w:val="24"/>
          <w:rtl/>
        </w:rPr>
        <w:t xml:space="preserve">, </w:t>
      </w:r>
      <w:r w:rsidR="00146385" w:rsidRPr="00146385">
        <w:rPr>
          <w:rFonts w:ascii="David" w:hAnsi="David" w:cs="David" w:hint="cs"/>
          <w:sz w:val="24"/>
          <w:szCs w:val="24"/>
          <w:rtl/>
        </w:rPr>
        <w:t xml:space="preserve">קבע </w:t>
      </w:r>
      <w:r w:rsidRPr="00146385">
        <w:rPr>
          <w:rFonts w:ascii="David" w:hAnsi="David" w:cs="David" w:hint="cs"/>
          <w:sz w:val="24"/>
          <w:szCs w:val="24"/>
          <w:rtl/>
        </w:rPr>
        <w:t xml:space="preserve"> </w:t>
      </w:r>
      <w:r w:rsidR="00205346" w:rsidRPr="00146385">
        <w:rPr>
          <w:rFonts w:ascii="David" w:hAnsi="David" w:cs="David" w:hint="cs"/>
          <w:sz w:val="24"/>
          <w:szCs w:val="24"/>
          <w:rtl/>
        </w:rPr>
        <w:t>בפסק דינו</w:t>
      </w:r>
      <w:r w:rsidR="00AE5AC6" w:rsidRPr="00146385">
        <w:rPr>
          <w:rFonts w:ascii="David" w:hAnsi="David" w:cs="David" w:hint="cs"/>
          <w:sz w:val="24"/>
          <w:szCs w:val="24"/>
          <w:rtl/>
        </w:rPr>
        <w:t xml:space="preserve"> מיום 27/12/15 עמ"ש( 8068-07-15 )</w:t>
      </w:r>
      <w:r w:rsidR="00083248">
        <w:rPr>
          <w:rFonts w:ascii="David" w:hAnsi="David" w:cs="David" w:hint="cs"/>
          <w:sz w:val="24"/>
          <w:szCs w:val="24"/>
          <w:rtl/>
        </w:rPr>
        <w:t xml:space="preserve"> כי, </w:t>
      </w:r>
      <w:r w:rsidRPr="00146385">
        <w:rPr>
          <w:rFonts w:ascii="David" w:hAnsi="David" w:cs="David" w:hint="cs"/>
          <w:sz w:val="24"/>
          <w:szCs w:val="24"/>
          <w:rtl/>
        </w:rPr>
        <w:t xml:space="preserve"> התובעים הם בעלי 75% מהזכויות </w:t>
      </w:r>
      <w:r w:rsidRPr="00146385">
        <w:rPr>
          <w:rFonts w:ascii="David" w:hAnsi="David" w:cs="David" w:hint="cs"/>
          <w:sz w:val="24"/>
          <w:szCs w:val="24"/>
          <w:rtl/>
        </w:rPr>
        <w:lastRenderedPageBreak/>
        <w:t>בדירה</w:t>
      </w:r>
      <w:r w:rsidR="00146385" w:rsidRPr="00146385">
        <w:rPr>
          <w:rFonts w:ascii="David" w:hAnsi="David" w:cs="David" w:hint="cs"/>
          <w:sz w:val="24"/>
          <w:szCs w:val="24"/>
          <w:rtl/>
        </w:rPr>
        <w:t>, מכוח מתנה גמורה שניתנה להם בהתאם לתצהירי המתנה</w:t>
      </w:r>
      <w:r w:rsidR="00146385">
        <w:rPr>
          <w:rFonts w:ascii="David" w:hAnsi="David" w:cs="David" w:hint="cs"/>
          <w:sz w:val="24"/>
          <w:szCs w:val="24"/>
          <w:rtl/>
        </w:rPr>
        <w:t>.</w:t>
      </w:r>
      <w:r w:rsidR="00146385" w:rsidRPr="006A3A60">
        <w:rPr>
          <w:rFonts w:ascii="David" w:hAnsi="David" w:cs="David"/>
          <w:sz w:val="24"/>
          <w:szCs w:val="24"/>
          <w:rtl/>
        </w:rPr>
        <w:t xml:space="preserve"> </w:t>
      </w:r>
      <w:r w:rsidR="000E7421">
        <w:rPr>
          <w:rFonts w:ascii="David" w:hAnsi="David" w:cs="David"/>
          <w:sz w:val="24"/>
          <w:szCs w:val="24"/>
          <w:rtl/>
        </w:rPr>
        <w:t>בית</w:t>
      </w:r>
      <w:r w:rsidR="000E7421" w:rsidRPr="000E7421">
        <w:rPr>
          <w:rFonts w:ascii="David" w:hAnsi="David" w:cs="David"/>
          <w:sz w:val="24"/>
          <w:szCs w:val="24"/>
          <w:rtl/>
        </w:rPr>
        <w:t xml:space="preserve"> </w:t>
      </w:r>
      <w:r w:rsidR="000E7421">
        <w:rPr>
          <w:rFonts w:ascii="David" w:hAnsi="David" w:cs="David" w:hint="cs"/>
          <w:sz w:val="24"/>
          <w:szCs w:val="24"/>
          <w:rtl/>
        </w:rPr>
        <w:t>ה</w:t>
      </w:r>
      <w:r w:rsidR="000E7421" w:rsidRPr="000E7421">
        <w:rPr>
          <w:rFonts w:ascii="David" w:hAnsi="David" w:cs="David"/>
          <w:sz w:val="24"/>
          <w:szCs w:val="24"/>
          <w:rtl/>
        </w:rPr>
        <w:t>משפט המחוזי קבע גם (סעיף24) כי "</w:t>
      </w:r>
      <w:r w:rsidR="000E7421" w:rsidRPr="000E7421">
        <w:rPr>
          <w:rFonts w:ascii="David" w:hAnsi="David" w:cs="David"/>
          <w:b/>
          <w:bCs/>
          <w:sz w:val="24"/>
          <w:szCs w:val="24"/>
          <w:rtl/>
        </w:rPr>
        <w:t>אין בהכרעה זו לחסום או לייתר ברור עתידי לשאלת התחשבנות בנוגע להשבחות, השקעות, תשלומים ושימושי</w:t>
      </w:r>
      <w:r w:rsidR="00D96558">
        <w:rPr>
          <w:rFonts w:ascii="David" w:hAnsi="David" w:cs="David"/>
          <w:b/>
          <w:bCs/>
          <w:sz w:val="24"/>
          <w:szCs w:val="24"/>
          <w:rtl/>
        </w:rPr>
        <w:t>ם ביחס לדירה, שנעשו מצד המשיב ב</w:t>
      </w:r>
      <w:r w:rsidR="000E7421" w:rsidRPr="000E7421">
        <w:rPr>
          <w:rFonts w:ascii="David" w:hAnsi="David" w:cs="David"/>
          <w:b/>
          <w:bCs/>
          <w:sz w:val="24"/>
          <w:szCs w:val="24"/>
          <w:rtl/>
        </w:rPr>
        <w:t>ד</w:t>
      </w:r>
      <w:r w:rsidR="00D96558">
        <w:rPr>
          <w:rFonts w:ascii="David" w:hAnsi="David" w:cs="David" w:hint="cs"/>
          <w:b/>
          <w:bCs/>
          <w:sz w:val="24"/>
          <w:szCs w:val="24"/>
          <w:rtl/>
        </w:rPr>
        <w:t>י</w:t>
      </w:r>
      <w:r w:rsidR="000E7421" w:rsidRPr="000E7421">
        <w:rPr>
          <w:rFonts w:ascii="David" w:hAnsi="David" w:cs="David"/>
          <w:b/>
          <w:bCs/>
          <w:sz w:val="24"/>
          <w:szCs w:val="24"/>
          <w:rtl/>
        </w:rPr>
        <w:t>רה, וככל שאלו יוכחו, ממועד מתן המתנה ואילך, והכל מכוח השותפות שנקבעו ביניהם".</w:t>
      </w:r>
    </w:p>
    <w:p w:rsidR="000E7421" w:rsidRPr="000E7421" w:rsidRDefault="000E7421" w:rsidP="002931B7">
      <w:pPr>
        <w:pStyle w:val="af"/>
        <w:spacing w:line="360" w:lineRule="auto"/>
        <w:ind w:left="360"/>
        <w:jc w:val="both"/>
        <w:rPr>
          <w:rFonts w:ascii="David" w:hAnsi="David" w:cs="David"/>
          <w:b/>
          <w:bCs/>
          <w:sz w:val="24"/>
          <w:szCs w:val="24"/>
          <w:rtl/>
        </w:rPr>
      </w:pPr>
    </w:p>
    <w:p w:rsidR="002E6252" w:rsidRDefault="00AD0C3F"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לאחר פסק הדין של ביהמ"ש המחוזי,  </w:t>
      </w:r>
      <w:r w:rsidR="005D4E8C" w:rsidRPr="00205346">
        <w:rPr>
          <w:rFonts w:ascii="David" w:hAnsi="David" w:cs="David" w:hint="cs"/>
          <w:sz w:val="24"/>
          <w:szCs w:val="24"/>
          <w:rtl/>
        </w:rPr>
        <w:t>הגישו</w:t>
      </w:r>
      <w:r w:rsidR="00EB01EC">
        <w:rPr>
          <w:rFonts w:ascii="David" w:hAnsi="David" w:cs="David" w:hint="cs"/>
          <w:sz w:val="24"/>
          <w:szCs w:val="24"/>
          <w:rtl/>
        </w:rPr>
        <w:t xml:space="preserve"> הצדדים </w:t>
      </w:r>
      <w:r w:rsidR="005D4E8C" w:rsidRPr="00205346">
        <w:rPr>
          <w:rFonts w:ascii="David" w:hAnsi="David" w:cs="David" w:hint="cs"/>
          <w:sz w:val="24"/>
          <w:szCs w:val="24"/>
          <w:rtl/>
        </w:rPr>
        <w:t xml:space="preserve"> לבית </w:t>
      </w:r>
      <w:r w:rsidR="00205346" w:rsidRPr="00205346">
        <w:rPr>
          <w:rFonts w:ascii="David" w:hAnsi="David" w:cs="David" w:hint="cs"/>
          <w:sz w:val="24"/>
          <w:szCs w:val="24"/>
          <w:rtl/>
        </w:rPr>
        <w:t>ה</w:t>
      </w:r>
      <w:r w:rsidR="005D4E8C" w:rsidRPr="00205346">
        <w:rPr>
          <w:rFonts w:ascii="David" w:hAnsi="David" w:cs="David" w:hint="cs"/>
          <w:sz w:val="24"/>
          <w:szCs w:val="24"/>
          <w:rtl/>
        </w:rPr>
        <w:t>משפט לענייני משפחה</w:t>
      </w:r>
      <w:r w:rsidR="006D6F7A">
        <w:rPr>
          <w:rFonts w:ascii="David" w:hAnsi="David" w:cs="David" w:hint="cs"/>
          <w:sz w:val="24"/>
          <w:szCs w:val="24"/>
          <w:rtl/>
        </w:rPr>
        <w:t xml:space="preserve"> </w:t>
      </w:r>
      <w:r>
        <w:rPr>
          <w:rFonts w:ascii="David" w:hAnsi="David" w:cs="David" w:hint="cs"/>
          <w:sz w:val="24"/>
          <w:szCs w:val="24"/>
          <w:rtl/>
        </w:rPr>
        <w:t xml:space="preserve">מספר תביעות אחד כנגד השני לרבות, </w:t>
      </w:r>
      <w:r w:rsidR="005D4E8C" w:rsidRPr="00205346">
        <w:rPr>
          <w:rFonts w:ascii="David" w:hAnsi="David" w:cs="David" w:hint="cs"/>
          <w:sz w:val="24"/>
          <w:szCs w:val="24"/>
          <w:rtl/>
        </w:rPr>
        <w:t xml:space="preserve"> תביעה לדמי שימוש ראויים </w:t>
      </w:r>
      <w:r w:rsidR="005D4E8C" w:rsidRPr="00EB01EC">
        <w:rPr>
          <w:rFonts w:ascii="David" w:hAnsi="David" w:cs="David" w:hint="cs"/>
          <w:sz w:val="24"/>
          <w:szCs w:val="24"/>
          <w:rtl/>
        </w:rPr>
        <w:t>תמש35296-06-17</w:t>
      </w:r>
      <w:r w:rsidR="005D4E8C" w:rsidRPr="00205346">
        <w:rPr>
          <w:rFonts w:ascii="David" w:hAnsi="David" w:cs="David" w:hint="cs"/>
          <w:sz w:val="24"/>
          <w:szCs w:val="24"/>
          <w:rtl/>
        </w:rPr>
        <w:t>, ותביעה לפירוק שיתוף</w:t>
      </w:r>
      <w:r w:rsidR="00942529">
        <w:rPr>
          <w:rFonts w:ascii="David" w:hAnsi="David" w:cs="David" w:hint="cs"/>
          <w:sz w:val="24"/>
          <w:szCs w:val="24"/>
          <w:rtl/>
        </w:rPr>
        <w:t xml:space="preserve"> </w:t>
      </w:r>
      <w:r w:rsidR="00146385">
        <w:rPr>
          <w:rFonts w:ascii="David" w:hAnsi="David" w:cs="David" w:hint="cs"/>
          <w:sz w:val="24"/>
          <w:szCs w:val="24"/>
          <w:rtl/>
        </w:rPr>
        <w:t xml:space="preserve"> </w:t>
      </w:r>
      <w:r w:rsidR="005D4E8C" w:rsidRPr="00205346">
        <w:rPr>
          <w:rFonts w:ascii="David" w:hAnsi="David" w:cs="David" w:hint="cs"/>
          <w:sz w:val="24"/>
          <w:szCs w:val="24"/>
          <w:rtl/>
        </w:rPr>
        <w:t xml:space="preserve"> </w:t>
      </w:r>
      <w:r w:rsidR="005D4E8C" w:rsidRPr="00EB01EC">
        <w:rPr>
          <w:rFonts w:ascii="David" w:hAnsi="David" w:cs="David" w:hint="cs"/>
          <w:sz w:val="24"/>
          <w:szCs w:val="24"/>
          <w:rtl/>
        </w:rPr>
        <w:t>תמש 14056-02-1</w:t>
      </w:r>
      <w:r w:rsidR="005D4E8C" w:rsidRPr="00205346">
        <w:rPr>
          <w:rFonts w:ascii="David" w:hAnsi="David" w:cs="David" w:hint="cs"/>
          <w:sz w:val="24"/>
          <w:szCs w:val="24"/>
          <w:rtl/>
        </w:rPr>
        <w:t xml:space="preserve">8 </w:t>
      </w:r>
      <w:r>
        <w:rPr>
          <w:rFonts w:ascii="David" w:hAnsi="David" w:cs="David" w:hint="cs"/>
          <w:sz w:val="24"/>
          <w:szCs w:val="24"/>
          <w:rtl/>
        </w:rPr>
        <w:t xml:space="preserve">, </w:t>
      </w:r>
      <w:r w:rsidR="006D6F7A">
        <w:rPr>
          <w:rFonts w:ascii="David" w:hAnsi="David" w:cs="David" w:hint="cs"/>
          <w:sz w:val="24"/>
          <w:szCs w:val="24"/>
          <w:rtl/>
        </w:rPr>
        <w:t>ש</w:t>
      </w:r>
      <w:r w:rsidR="00F94E25">
        <w:rPr>
          <w:rFonts w:ascii="David" w:hAnsi="David" w:cs="David" w:hint="cs"/>
          <w:sz w:val="24"/>
          <w:szCs w:val="24"/>
          <w:rtl/>
        </w:rPr>
        <w:t>הגישו התובעים כנגד הנתבע</w:t>
      </w:r>
      <w:r w:rsidR="00146385">
        <w:rPr>
          <w:rFonts w:ascii="David" w:hAnsi="David" w:cs="David" w:hint="cs"/>
          <w:sz w:val="24"/>
          <w:szCs w:val="24"/>
          <w:rtl/>
        </w:rPr>
        <w:t>ים</w:t>
      </w:r>
      <w:r w:rsidR="00942529">
        <w:rPr>
          <w:rFonts w:ascii="David" w:hAnsi="David" w:cs="David" w:hint="cs"/>
          <w:sz w:val="24"/>
          <w:szCs w:val="24"/>
          <w:rtl/>
        </w:rPr>
        <w:t>, בעניין הדירה.</w:t>
      </w:r>
      <w:r w:rsidR="000E7421">
        <w:rPr>
          <w:rFonts w:ascii="David" w:hAnsi="David" w:cs="David" w:hint="cs"/>
          <w:sz w:val="24"/>
          <w:szCs w:val="24"/>
          <w:rtl/>
        </w:rPr>
        <w:t xml:space="preserve"> הנתבעים הגישו כתבי הגנה ועתרו לדחיית התביעות,</w:t>
      </w:r>
      <w:r w:rsidR="00893D05">
        <w:rPr>
          <w:rFonts w:ascii="David" w:hAnsi="David" w:cs="David" w:hint="cs"/>
          <w:sz w:val="24"/>
          <w:szCs w:val="24"/>
          <w:rtl/>
        </w:rPr>
        <w:t xml:space="preserve"> </w:t>
      </w:r>
      <w:r w:rsidR="000E7421">
        <w:rPr>
          <w:rFonts w:ascii="David" w:hAnsi="David" w:cs="David" w:hint="cs"/>
          <w:sz w:val="24"/>
          <w:szCs w:val="24"/>
          <w:rtl/>
        </w:rPr>
        <w:t>וטענו,</w:t>
      </w:r>
      <w:r>
        <w:rPr>
          <w:rFonts w:ascii="David" w:hAnsi="David" w:cs="David" w:hint="cs"/>
          <w:sz w:val="24"/>
          <w:szCs w:val="24"/>
          <w:rtl/>
        </w:rPr>
        <w:t xml:space="preserve"> </w:t>
      </w:r>
      <w:r w:rsidR="000E7421">
        <w:rPr>
          <w:rFonts w:ascii="David" w:hAnsi="David" w:cs="David" w:hint="cs"/>
          <w:sz w:val="24"/>
          <w:szCs w:val="24"/>
          <w:rtl/>
        </w:rPr>
        <w:t>בן היתר,  להשקעות והשבחות שביצעו בדירה במשך השנים.</w:t>
      </w:r>
      <w:r w:rsidR="00146385">
        <w:rPr>
          <w:rFonts w:ascii="David" w:hAnsi="David" w:cs="David" w:hint="cs"/>
          <w:sz w:val="24"/>
          <w:szCs w:val="24"/>
          <w:rtl/>
        </w:rPr>
        <w:t xml:space="preserve"> </w:t>
      </w:r>
    </w:p>
    <w:p w:rsidR="004F7D4B" w:rsidRDefault="005D4E8C" w:rsidP="002931B7">
      <w:pPr>
        <w:pStyle w:val="af"/>
        <w:spacing w:line="360" w:lineRule="auto"/>
        <w:ind w:left="360"/>
        <w:jc w:val="both"/>
        <w:rPr>
          <w:rFonts w:ascii="David" w:hAnsi="David" w:cs="David"/>
          <w:sz w:val="24"/>
          <w:szCs w:val="24"/>
          <w:rtl/>
        </w:rPr>
      </w:pPr>
      <w:r w:rsidRPr="002E6252">
        <w:rPr>
          <w:rFonts w:ascii="David" w:hAnsi="David" w:cs="David" w:hint="cs"/>
          <w:sz w:val="24"/>
          <w:szCs w:val="24"/>
          <w:rtl/>
        </w:rPr>
        <w:t xml:space="preserve"> בתאריך 12/11/18 </w:t>
      </w:r>
      <w:r w:rsidR="00F94E25" w:rsidRPr="002E6252">
        <w:rPr>
          <w:rFonts w:ascii="David" w:hAnsi="David" w:cs="David" w:hint="cs"/>
          <w:sz w:val="24"/>
          <w:szCs w:val="24"/>
          <w:rtl/>
        </w:rPr>
        <w:t xml:space="preserve"> התקיים דיון </w:t>
      </w:r>
      <w:r w:rsidR="00146385" w:rsidRPr="002E6252">
        <w:rPr>
          <w:rFonts w:ascii="David" w:hAnsi="David" w:cs="David" w:hint="cs"/>
          <w:sz w:val="24"/>
          <w:szCs w:val="24"/>
          <w:rtl/>
        </w:rPr>
        <w:t>מא</w:t>
      </w:r>
      <w:r w:rsidR="00942529" w:rsidRPr="002E6252">
        <w:rPr>
          <w:rFonts w:ascii="David" w:hAnsi="David" w:cs="David" w:hint="cs"/>
          <w:sz w:val="24"/>
          <w:szCs w:val="24"/>
          <w:rtl/>
        </w:rPr>
        <w:t>וחד בשני התיקים הנ"ל ,</w:t>
      </w:r>
      <w:r w:rsidR="00333872">
        <w:rPr>
          <w:rFonts w:ascii="David" w:hAnsi="David" w:cs="David" w:hint="cs"/>
          <w:sz w:val="24"/>
          <w:szCs w:val="24"/>
          <w:rtl/>
        </w:rPr>
        <w:t xml:space="preserve"> </w:t>
      </w:r>
    </w:p>
    <w:p w:rsidR="004F7D4B" w:rsidRDefault="00D96558" w:rsidP="002931B7">
      <w:pPr>
        <w:pStyle w:val="af"/>
        <w:spacing w:line="360" w:lineRule="auto"/>
        <w:ind w:left="360"/>
        <w:jc w:val="both"/>
        <w:rPr>
          <w:rFonts w:ascii="David" w:hAnsi="David" w:cs="David"/>
          <w:sz w:val="24"/>
          <w:szCs w:val="24"/>
          <w:rtl/>
        </w:rPr>
      </w:pPr>
      <w:r>
        <w:rPr>
          <w:rFonts w:ascii="David" w:hAnsi="David" w:cs="David"/>
          <w:sz w:val="24"/>
          <w:szCs w:val="24"/>
          <w:rtl/>
        </w:rPr>
        <w:t>בית המשפט הורה</w:t>
      </w:r>
      <w:r>
        <w:rPr>
          <w:rFonts w:ascii="David" w:hAnsi="David" w:cs="David" w:hint="cs"/>
          <w:sz w:val="24"/>
          <w:szCs w:val="24"/>
          <w:rtl/>
        </w:rPr>
        <w:t>,</w:t>
      </w:r>
      <w:r w:rsidR="00333872">
        <w:rPr>
          <w:rFonts w:ascii="David" w:hAnsi="David" w:cs="David" w:hint="cs"/>
          <w:sz w:val="24"/>
          <w:szCs w:val="24"/>
          <w:rtl/>
        </w:rPr>
        <w:t xml:space="preserve"> לפי בקשת ב"כ התובעים,</w:t>
      </w:r>
      <w:r w:rsidR="00EB01EC">
        <w:rPr>
          <w:rFonts w:ascii="David" w:hAnsi="David" w:cs="David" w:hint="cs"/>
          <w:sz w:val="24"/>
          <w:szCs w:val="24"/>
          <w:rtl/>
        </w:rPr>
        <w:t xml:space="preserve"> </w:t>
      </w:r>
      <w:r w:rsidR="004F7D4B" w:rsidRPr="004F7D4B">
        <w:rPr>
          <w:rFonts w:ascii="David" w:hAnsi="David" w:cs="David"/>
          <w:sz w:val="24"/>
          <w:szCs w:val="24"/>
          <w:rtl/>
        </w:rPr>
        <w:t>על תיקון כתב התביעה באופן שהסעד לפירוק שיתוף במקרקעין נמחק ונשאר הסעד של פירוק שיתוף בזכויות</w:t>
      </w:r>
      <w:r w:rsidR="00333872">
        <w:rPr>
          <w:rFonts w:ascii="David" w:hAnsi="David" w:cs="David" w:hint="cs"/>
          <w:sz w:val="24"/>
          <w:szCs w:val="24"/>
          <w:rtl/>
        </w:rPr>
        <w:t>, מאחר והתובעים לא רשומים כבעלי הזכויות בלשכת רישום המקרקעין.</w:t>
      </w:r>
    </w:p>
    <w:p w:rsidR="005D4E8C" w:rsidRPr="00AD0C3F" w:rsidRDefault="00D96558" w:rsidP="002931B7">
      <w:pPr>
        <w:pStyle w:val="af"/>
        <w:spacing w:line="360" w:lineRule="auto"/>
        <w:ind w:left="360"/>
        <w:jc w:val="both"/>
        <w:rPr>
          <w:rFonts w:ascii="David" w:hAnsi="David" w:cs="David"/>
          <w:sz w:val="24"/>
          <w:szCs w:val="24"/>
          <w:rtl/>
        </w:rPr>
      </w:pPr>
      <w:r>
        <w:rPr>
          <w:rFonts w:ascii="David" w:hAnsi="David" w:cs="David" w:hint="cs"/>
          <w:sz w:val="24"/>
          <w:szCs w:val="24"/>
          <w:rtl/>
        </w:rPr>
        <w:t>בנוסף,</w:t>
      </w:r>
      <w:r w:rsidR="00942529" w:rsidRPr="002E6252">
        <w:rPr>
          <w:rFonts w:ascii="David" w:hAnsi="David" w:cs="David" w:hint="cs"/>
          <w:sz w:val="24"/>
          <w:szCs w:val="24"/>
          <w:rtl/>
        </w:rPr>
        <w:t xml:space="preserve"> הסכימו הצדדים </w:t>
      </w:r>
      <w:r w:rsidR="005D4E8C" w:rsidRPr="002E6252">
        <w:rPr>
          <w:rFonts w:ascii="David" w:hAnsi="David" w:cs="David" w:hint="cs"/>
          <w:sz w:val="24"/>
          <w:szCs w:val="24"/>
          <w:rtl/>
        </w:rPr>
        <w:t xml:space="preserve">להעביר את שני התיקים שבנדון וגם את כל התיקים הפתוחים שמתנהלים </w:t>
      </w:r>
      <w:r w:rsidR="005D4E8C" w:rsidRPr="002E6252">
        <w:rPr>
          <w:rFonts w:ascii="David" w:hAnsi="David" w:cs="David"/>
          <w:sz w:val="24"/>
          <w:szCs w:val="24"/>
          <w:rtl/>
        </w:rPr>
        <w:t>בי</w:t>
      </w:r>
      <w:r w:rsidR="00D268BA" w:rsidRPr="002E6252">
        <w:rPr>
          <w:rFonts w:ascii="David" w:hAnsi="David" w:cs="David"/>
          <w:sz w:val="24"/>
          <w:szCs w:val="24"/>
          <w:rtl/>
        </w:rPr>
        <w:t>נם</w:t>
      </w:r>
      <w:r w:rsidR="00AD0C3F">
        <w:rPr>
          <w:rFonts w:ascii="David" w:hAnsi="David" w:cs="David" w:hint="cs"/>
          <w:sz w:val="24"/>
          <w:szCs w:val="24"/>
          <w:rtl/>
        </w:rPr>
        <w:t>,</w:t>
      </w:r>
      <w:r w:rsidR="00D268BA" w:rsidRPr="002E6252">
        <w:rPr>
          <w:rFonts w:ascii="David" w:hAnsi="David" w:cs="David"/>
          <w:sz w:val="24"/>
          <w:szCs w:val="24"/>
          <w:rtl/>
        </w:rPr>
        <w:t xml:space="preserve"> </w:t>
      </w:r>
      <w:r w:rsidR="00942529" w:rsidRPr="002E6252">
        <w:rPr>
          <w:rFonts w:ascii="David" w:hAnsi="David" w:cs="David"/>
          <w:sz w:val="24"/>
          <w:szCs w:val="24"/>
          <w:rtl/>
        </w:rPr>
        <w:t>להכרעתה</w:t>
      </w:r>
      <w:r w:rsidR="005D4E8C" w:rsidRPr="002E6252">
        <w:rPr>
          <w:rFonts w:ascii="David" w:hAnsi="David" w:cs="David"/>
          <w:sz w:val="24"/>
          <w:szCs w:val="24"/>
          <w:rtl/>
        </w:rPr>
        <w:t xml:space="preserve"> ש</w:t>
      </w:r>
      <w:r w:rsidR="00942529" w:rsidRPr="002E6252">
        <w:rPr>
          <w:rFonts w:ascii="David" w:hAnsi="David" w:cs="David"/>
          <w:sz w:val="24"/>
          <w:szCs w:val="24"/>
          <w:rtl/>
        </w:rPr>
        <w:t>ל הבוררת כב' השופטת בדימוס נחמה מוניץ</w:t>
      </w:r>
      <w:r w:rsidR="00D268BA" w:rsidRPr="002E6252">
        <w:rPr>
          <w:rFonts w:ascii="David" w:hAnsi="David" w:cs="David" w:hint="cs"/>
          <w:sz w:val="24"/>
          <w:szCs w:val="24"/>
          <w:rtl/>
        </w:rPr>
        <w:t xml:space="preserve">. עוד הסכימו הצדדים </w:t>
      </w:r>
      <w:r w:rsidR="005D4E8C" w:rsidRPr="002E6252">
        <w:rPr>
          <w:rFonts w:ascii="David" w:hAnsi="David" w:cs="David" w:hint="cs"/>
          <w:sz w:val="24"/>
          <w:szCs w:val="24"/>
          <w:rtl/>
        </w:rPr>
        <w:t>כי הבוררת תנהל את הבוררות בהתאם לחוק הבוררות והתוספת לחוק, ותהא משוחררת מהדין המהותי</w:t>
      </w:r>
      <w:r w:rsidR="00D268BA" w:rsidRPr="002E6252">
        <w:rPr>
          <w:rFonts w:ascii="David" w:hAnsi="David" w:cs="David" w:hint="cs"/>
          <w:sz w:val="24"/>
          <w:szCs w:val="24"/>
          <w:rtl/>
        </w:rPr>
        <w:t>.</w:t>
      </w:r>
      <w:r w:rsidR="00614213">
        <w:rPr>
          <w:rFonts w:ascii="David" w:hAnsi="David" w:cs="David" w:hint="cs"/>
          <w:sz w:val="24"/>
          <w:szCs w:val="24"/>
          <w:rtl/>
        </w:rPr>
        <w:t xml:space="preserve"> </w:t>
      </w:r>
      <w:r w:rsidR="00D268BA" w:rsidRPr="00AD0C3F">
        <w:rPr>
          <w:rFonts w:ascii="David" w:hAnsi="David" w:cs="David" w:hint="cs"/>
          <w:sz w:val="24"/>
          <w:szCs w:val="24"/>
          <w:rtl/>
        </w:rPr>
        <w:t>ההסכמות אושרו וניתן להן תוקף של פסק דין.</w:t>
      </w:r>
    </w:p>
    <w:p w:rsidR="000E7421" w:rsidRPr="002E6252" w:rsidRDefault="000E7421" w:rsidP="002931B7">
      <w:pPr>
        <w:pStyle w:val="af"/>
        <w:spacing w:line="360" w:lineRule="auto"/>
        <w:ind w:left="360"/>
        <w:jc w:val="both"/>
        <w:rPr>
          <w:rFonts w:ascii="David" w:hAnsi="David" w:cs="David"/>
          <w:sz w:val="24"/>
          <w:szCs w:val="24"/>
          <w:rtl/>
        </w:rPr>
      </w:pPr>
    </w:p>
    <w:p w:rsidR="002E6252" w:rsidRPr="002E6252" w:rsidRDefault="002E6252" w:rsidP="002931B7">
      <w:pPr>
        <w:pStyle w:val="af"/>
        <w:numPr>
          <w:ilvl w:val="0"/>
          <w:numId w:val="2"/>
        </w:numPr>
        <w:spacing w:line="360" w:lineRule="auto"/>
        <w:jc w:val="both"/>
        <w:rPr>
          <w:rFonts w:ascii="David" w:hAnsi="David" w:cs="David"/>
          <w:sz w:val="24"/>
          <w:szCs w:val="24"/>
          <w:rtl/>
        </w:rPr>
      </w:pPr>
      <w:r w:rsidRPr="002E6252">
        <w:rPr>
          <w:rFonts w:ascii="David" w:hAnsi="David" w:cs="David"/>
          <w:sz w:val="24"/>
          <w:szCs w:val="24"/>
          <w:rtl/>
        </w:rPr>
        <w:t>בהמשך הצדדים הגישו  רשימה מוסכמת לכל התיקים אשר יועברו לבוררת והם:</w:t>
      </w:r>
    </w:p>
    <w:p w:rsidR="002E6252" w:rsidRDefault="002E6252" w:rsidP="002931B7">
      <w:pPr>
        <w:pStyle w:val="af"/>
        <w:spacing w:line="360" w:lineRule="auto"/>
        <w:ind w:left="360"/>
        <w:jc w:val="both"/>
        <w:rPr>
          <w:rFonts w:ascii="David" w:hAnsi="David" w:cs="David"/>
          <w:sz w:val="24"/>
          <w:szCs w:val="24"/>
          <w:rtl/>
        </w:rPr>
      </w:pPr>
      <w:r w:rsidRPr="002E6252">
        <w:rPr>
          <w:rFonts w:ascii="David" w:hAnsi="David" w:cs="David"/>
          <w:sz w:val="24"/>
          <w:szCs w:val="24"/>
          <w:rtl/>
        </w:rPr>
        <w:t>תמש  14056-02-18 ( תביעה לפירוק שיתוף בדירה), תמש 35296-06-17 (תביעה לדמי שימוש בדירה), תמש 31732-11-17( תביעה  כספית בגין לשון הרע), תמש 17917-06-17( תביעה כספית בגין לשון הרע ותקיפה) , תמש44797-09-17(תביעה כספית בגין לשון הרע ותקיפה), תמש  35494-09-18( בקשה לפי פקודת ביזיון ביהמ"ש)  תמש30135-07-18( תביעה לביטול רישום הנתבע במקרקעין) תמש27559-07-13( תביעה כספית בגין לשון הרע).</w:t>
      </w:r>
    </w:p>
    <w:p w:rsidR="002E6252" w:rsidRDefault="002E6252" w:rsidP="002931B7">
      <w:pPr>
        <w:pStyle w:val="af"/>
        <w:spacing w:line="360" w:lineRule="auto"/>
        <w:ind w:left="360"/>
        <w:jc w:val="both"/>
        <w:rPr>
          <w:rFonts w:ascii="David" w:hAnsi="David" w:cs="David"/>
          <w:sz w:val="24"/>
          <w:szCs w:val="24"/>
        </w:rPr>
      </w:pPr>
    </w:p>
    <w:p w:rsidR="00614213" w:rsidRDefault="00614213" w:rsidP="002931B7">
      <w:pPr>
        <w:pStyle w:val="af"/>
        <w:numPr>
          <w:ilvl w:val="0"/>
          <w:numId w:val="2"/>
        </w:numPr>
        <w:spacing w:line="360" w:lineRule="auto"/>
        <w:jc w:val="both"/>
        <w:rPr>
          <w:rFonts w:ascii="David" w:hAnsi="David" w:cs="David"/>
          <w:sz w:val="24"/>
          <w:szCs w:val="24"/>
        </w:rPr>
      </w:pPr>
      <w:r>
        <w:rPr>
          <w:rFonts w:ascii="David" w:hAnsi="David" w:cs="David"/>
          <w:sz w:val="24"/>
          <w:szCs w:val="24"/>
          <w:rtl/>
        </w:rPr>
        <w:t xml:space="preserve">בהליך בוררות התקיימו מספר </w:t>
      </w:r>
      <w:r>
        <w:rPr>
          <w:rFonts w:ascii="David" w:hAnsi="David" w:cs="David" w:hint="cs"/>
          <w:sz w:val="24"/>
          <w:szCs w:val="24"/>
          <w:rtl/>
        </w:rPr>
        <w:t>ישיבות</w:t>
      </w:r>
      <w:r w:rsidR="00AD0C3F" w:rsidRPr="00AD0C3F">
        <w:rPr>
          <w:rFonts w:ascii="David" w:hAnsi="David" w:cs="David"/>
          <w:sz w:val="24"/>
          <w:szCs w:val="24"/>
          <w:rtl/>
        </w:rPr>
        <w:t>:</w:t>
      </w:r>
    </w:p>
    <w:p w:rsidR="00AD0C3F" w:rsidRPr="00614213" w:rsidRDefault="00AD0C3F" w:rsidP="002931B7">
      <w:pPr>
        <w:pStyle w:val="af"/>
        <w:spacing w:line="360" w:lineRule="auto"/>
        <w:ind w:left="360"/>
        <w:jc w:val="both"/>
        <w:rPr>
          <w:rFonts w:ascii="David" w:hAnsi="David" w:cs="David"/>
          <w:sz w:val="24"/>
          <w:szCs w:val="24"/>
          <w:rtl/>
        </w:rPr>
      </w:pPr>
      <w:r w:rsidRPr="00614213">
        <w:rPr>
          <w:rFonts w:ascii="David" w:hAnsi="David" w:cs="David"/>
          <w:sz w:val="24"/>
          <w:szCs w:val="24"/>
          <w:rtl/>
        </w:rPr>
        <w:t xml:space="preserve">בתאריך 13/12/18, התקיים דיון והוסכם על פיצול הדיון בתביעות  לשני שלבים- שלב ראשון-בו תידון התביעה לפירוק שיתוף ותביעה לדמי שימוש אשר הסתיימו בפסק בורר. </w:t>
      </w:r>
      <w:r w:rsidR="00614213">
        <w:rPr>
          <w:rFonts w:ascii="David" w:hAnsi="David" w:cs="David"/>
          <w:sz w:val="24"/>
          <w:szCs w:val="24"/>
          <w:rtl/>
        </w:rPr>
        <w:t>ושלב שני- בו ידונו שאר התביעות</w:t>
      </w:r>
      <w:r w:rsidR="00614213">
        <w:rPr>
          <w:rFonts w:ascii="David" w:hAnsi="David" w:cs="David" w:hint="cs"/>
          <w:sz w:val="24"/>
          <w:szCs w:val="24"/>
          <w:rtl/>
        </w:rPr>
        <w:t>,</w:t>
      </w:r>
    </w:p>
    <w:p w:rsidR="00AD0C3F" w:rsidRPr="00AD0C3F" w:rsidRDefault="00AD0C3F" w:rsidP="002931B7">
      <w:pPr>
        <w:pStyle w:val="af"/>
        <w:spacing w:line="360" w:lineRule="auto"/>
        <w:ind w:left="360"/>
        <w:jc w:val="both"/>
        <w:rPr>
          <w:rFonts w:ascii="David" w:hAnsi="David" w:cs="David"/>
          <w:sz w:val="24"/>
          <w:szCs w:val="24"/>
          <w:rtl/>
        </w:rPr>
      </w:pPr>
      <w:r w:rsidRPr="00AD0C3F">
        <w:rPr>
          <w:rFonts w:ascii="David" w:hAnsi="David" w:cs="David"/>
          <w:sz w:val="24"/>
          <w:szCs w:val="24"/>
          <w:rtl/>
        </w:rPr>
        <w:t xml:space="preserve">בתאריך 2/1/19 התקיים </w:t>
      </w:r>
      <w:r w:rsidR="00614213">
        <w:rPr>
          <w:rFonts w:ascii="David" w:hAnsi="David" w:cs="David"/>
          <w:sz w:val="24"/>
          <w:szCs w:val="24"/>
          <w:rtl/>
        </w:rPr>
        <w:t>עוד דיון ומונה שמאי מטעם הבוררת</w:t>
      </w:r>
      <w:r w:rsidR="00614213">
        <w:rPr>
          <w:rFonts w:ascii="David" w:hAnsi="David" w:cs="David" w:hint="cs"/>
          <w:sz w:val="24"/>
          <w:szCs w:val="24"/>
          <w:rtl/>
        </w:rPr>
        <w:t>,</w:t>
      </w:r>
    </w:p>
    <w:p w:rsidR="00AD0C3F" w:rsidRPr="00AD0C3F" w:rsidRDefault="00AD0C3F" w:rsidP="002931B7">
      <w:pPr>
        <w:pStyle w:val="af"/>
        <w:spacing w:line="360" w:lineRule="auto"/>
        <w:ind w:left="360"/>
        <w:jc w:val="both"/>
        <w:rPr>
          <w:rFonts w:ascii="David" w:hAnsi="David" w:cs="David"/>
          <w:sz w:val="24"/>
          <w:szCs w:val="24"/>
          <w:rtl/>
        </w:rPr>
      </w:pPr>
      <w:r w:rsidRPr="00AD0C3F">
        <w:rPr>
          <w:rFonts w:ascii="David" w:hAnsi="David" w:cs="David"/>
          <w:sz w:val="24"/>
          <w:szCs w:val="24"/>
          <w:rtl/>
        </w:rPr>
        <w:t xml:space="preserve">בתאריך 11/6/19 , </w:t>
      </w:r>
      <w:r w:rsidR="00614213">
        <w:rPr>
          <w:rFonts w:ascii="David" w:hAnsi="David" w:cs="David"/>
          <w:sz w:val="24"/>
          <w:szCs w:val="24"/>
          <w:rtl/>
        </w:rPr>
        <w:t>התקיים דיון בו נחקר ה</w:t>
      </w:r>
      <w:r w:rsidR="00614213">
        <w:rPr>
          <w:rFonts w:ascii="David" w:hAnsi="David" w:cs="David" w:hint="cs"/>
          <w:sz w:val="24"/>
          <w:szCs w:val="24"/>
          <w:rtl/>
        </w:rPr>
        <w:t xml:space="preserve">שמאי </w:t>
      </w:r>
      <w:r w:rsidR="00614213">
        <w:rPr>
          <w:rFonts w:ascii="David" w:hAnsi="David" w:cs="David"/>
          <w:sz w:val="24"/>
          <w:szCs w:val="24"/>
          <w:rtl/>
        </w:rPr>
        <w:t>מטעם הבוררת</w:t>
      </w:r>
      <w:r w:rsidR="00614213">
        <w:rPr>
          <w:rFonts w:ascii="David" w:hAnsi="David" w:cs="David" w:hint="cs"/>
          <w:sz w:val="24"/>
          <w:szCs w:val="24"/>
          <w:rtl/>
        </w:rPr>
        <w:t>,</w:t>
      </w:r>
    </w:p>
    <w:p w:rsidR="00AD0C3F" w:rsidRPr="00AD0C3F" w:rsidRDefault="00614213" w:rsidP="002931B7">
      <w:pPr>
        <w:pStyle w:val="af"/>
        <w:spacing w:line="360" w:lineRule="auto"/>
        <w:ind w:left="360"/>
        <w:jc w:val="both"/>
        <w:rPr>
          <w:rFonts w:ascii="David" w:hAnsi="David" w:cs="David"/>
          <w:sz w:val="24"/>
          <w:szCs w:val="24"/>
          <w:rtl/>
        </w:rPr>
      </w:pPr>
      <w:r>
        <w:rPr>
          <w:rFonts w:ascii="David" w:hAnsi="David" w:cs="David" w:hint="cs"/>
          <w:sz w:val="24"/>
          <w:szCs w:val="24"/>
          <w:rtl/>
        </w:rPr>
        <w:t>הצדדים הגישו סיכומים</w:t>
      </w:r>
      <w:r w:rsidR="002E2DF7">
        <w:rPr>
          <w:rFonts w:ascii="David" w:hAnsi="David" w:cs="David" w:hint="cs"/>
          <w:sz w:val="24"/>
          <w:szCs w:val="24"/>
          <w:rtl/>
        </w:rPr>
        <w:t xml:space="preserve"> בכתב.</w:t>
      </w:r>
    </w:p>
    <w:p w:rsidR="0051526B" w:rsidRPr="0013508B" w:rsidRDefault="005D4E8C" w:rsidP="0013508B">
      <w:pPr>
        <w:pStyle w:val="af"/>
        <w:numPr>
          <w:ilvl w:val="0"/>
          <w:numId w:val="2"/>
        </w:numPr>
        <w:spacing w:line="360" w:lineRule="auto"/>
        <w:jc w:val="both"/>
        <w:rPr>
          <w:rFonts w:ascii="David" w:hAnsi="David" w:cs="David"/>
          <w:sz w:val="24"/>
          <w:szCs w:val="24"/>
        </w:rPr>
      </w:pPr>
      <w:r w:rsidRPr="006A3A60">
        <w:rPr>
          <w:rFonts w:ascii="David" w:hAnsi="David" w:cs="David" w:hint="cs"/>
          <w:sz w:val="24"/>
          <w:szCs w:val="24"/>
          <w:rtl/>
        </w:rPr>
        <w:lastRenderedPageBreak/>
        <w:t xml:space="preserve">בתאריך 12/4/20 נתנה כב' הבוררת פסק בורר בשתי </w:t>
      </w:r>
      <w:r w:rsidR="006E27D6">
        <w:rPr>
          <w:rFonts w:ascii="David" w:hAnsi="David" w:cs="David" w:hint="cs"/>
          <w:sz w:val="24"/>
          <w:szCs w:val="24"/>
          <w:rtl/>
        </w:rPr>
        <w:t>התביעות, 14056-0</w:t>
      </w:r>
      <w:r w:rsidR="00293EDD">
        <w:rPr>
          <w:rFonts w:ascii="David" w:hAnsi="David" w:cs="David" w:hint="cs"/>
          <w:sz w:val="24"/>
          <w:szCs w:val="24"/>
          <w:rtl/>
        </w:rPr>
        <w:t>2</w:t>
      </w:r>
      <w:r w:rsidR="006E27D6">
        <w:rPr>
          <w:rFonts w:ascii="David" w:hAnsi="David" w:cs="David" w:hint="cs"/>
          <w:sz w:val="24"/>
          <w:szCs w:val="24"/>
          <w:rtl/>
        </w:rPr>
        <w:t>-1</w:t>
      </w:r>
      <w:r w:rsidR="00293EDD">
        <w:rPr>
          <w:rFonts w:ascii="David" w:hAnsi="David" w:cs="David" w:hint="cs"/>
          <w:sz w:val="24"/>
          <w:szCs w:val="24"/>
          <w:rtl/>
        </w:rPr>
        <w:t>8</w:t>
      </w:r>
      <w:r w:rsidR="006E27D6">
        <w:rPr>
          <w:rFonts w:ascii="David" w:hAnsi="David" w:cs="David" w:hint="cs"/>
          <w:sz w:val="24"/>
          <w:szCs w:val="24"/>
          <w:rtl/>
        </w:rPr>
        <w:t xml:space="preserve"> תביעה </w:t>
      </w:r>
      <w:r w:rsidRPr="006A3A60">
        <w:rPr>
          <w:rFonts w:ascii="David" w:hAnsi="David" w:cs="David" w:hint="cs"/>
          <w:sz w:val="24"/>
          <w:szCs w:val="24"/>
          <w:rtl/>
        </w:rPr>
        <w:t xml:space="preserve"> לפירוק שיתוף ו 35296-06-17-תביעה לדמי שימוש.</w:t>
      </w:r>
    </w:p>
    <w:p w:rsidR="000E7421" w:rsidRDefault="005D4E8C" w:rsidP="002931B7">
      <w:pPr>
        <w:pStyle w:val="af"/>
        <w:spacing w:line="360" w:lineRule="auto"/>
        <w:ind w:left="360"/>
        <w:jc w:val="both"/>
        <w:rPr>
          <w:rFonts w:ascii="David" w:hAnsi="David"/>
          <w:rtl/>
        </w:rPr>
      </w:pPr>
      <w:r w:rsidRPr="000E7421">
        <w:rPr>
          <w:rFonts w:ascii="David" w:hAnsi="David" w:cs="David"/>
          <w:sz w:val="24"/>
          <w:szCs w:val="24"/>
          <w:rtl/>
        </w:rPr>
        <w:t xml:space="preserve">בתביעה לפירוק שיתוף, </w:t>
      </w:r>
      <w:r w:rsidR="0051526B" w:rsidRPr="0051526B">
        <w:rPr>
          <w:rFonts w:ascii="David" w:hAnsi="David" w:cs="David"/>
          <w:sz w:val="24"/>
          <w:szCs w:val="24"/>
          <w:rtl/>
        </w:rPr>
        <w:t xml:space="preserve">כב' הבוררת, קבלה את עמדת התובעים, והגיעה למסקנה (סעיף12שם) כי "אין כל מניעה להורות על פירוק השיתוף בנכס, בהתאם להוראות סעיף10 לחוק המיטלטלין.". </w:t>
      </w:r>
      <w:r w:rsidRPr="000E7421">
        <w:rPr>
          <w:rFonts w:ascii="David" w:hAnsi="David" w:cs="David"/>
          <w:sz w:val="24"/>
          <w:szCs w:val="24"/>
          <w:rtl/>
        </w:rPr>
        <w:t xml:space="preserve">כי פירוק שיתוף </w:t>
      </w:r>
      <w:r w:rsidR="00614213">
        <w:rPr>
          <w:rFonts w:ascii="David" w:hAnsi="David" w:cs="David" w:hint="cs"/>
          <w:sz w:val="24"/>
          <w:szCs w:val="24"/>
          <w:rtl/>
        </w:rPr>
        <w:t>ה</w:t>
      </w:r>
      <w:r w:rsidRPr="000E7421">
        <w:rPr>
          <w:rFonts w:ascii="David" w:hAnsi="David" w:cs="David"/>
          <w:sz w:val="24"/>
          <w:szCs w:val="24"/>
          <w:rtl/>
        </w:rPr>
        <w:t xml:space="preserve">זכויות, </w:t>
      </w:r>
      <w:r w:rsidR="00614213">
        <w:rPr>
          <w:rFonts w:ascii="David" w:hAnsi="David" w:cs="David" w:hint="cs"/>
          <w:sz w:val="24"/>
          <w:szCs w:val="24"/>
          <w:rtl/>
        </w:rPr>
        <w:t xml:space="preserve">יהיה </w:t>
      </w:r>
      <w:r w:rsidRPr="000E7421">
        <w:rPr>
          <w:rFonts w:ascii="David" w:hAnsi="David" w:cs="David"/>
          <w:sz w:val="24"/>
          <w:szCs w:val="24"/>
          <w:rtl/>
        </w:rPr>
        <w:t>בדרך של פיצוי התובעים בגין שווי זכויותיהם בנכס</w:t>
      </w:r>
      <w:r w:rsidR="00D802E7">
        <w:rPr>
          <w:rFonts w:ascii="David" w:hAnsi="David" w:cs="David" w:hint="cs"/>
          <w:sz w:val="24"/>
          <w:szCs w:val="24"/>
          <w:rtl/>
        </w:rPr>
        <w:t xml:space="preserve"> בהתאם לחוות דעת שמאי שמונה מטעמה </w:t>
      </w:r>
      <w:r w:rsidRPr="000E7421">
        <w:rPr>
          <w:rFonts w:ascii="David" w:hAnsi="David" w:cs="David"/>
          <w:sz w:val="24"/>
          <w:szCs w:val="24"/>
          <w:rtl/>
        </w:rPr>
        <w:t xml:space="preserve">;  כי זכויות התובעים בנכס כוללות גם את זכויות הבניה, וכי יש לשום את </w:t>
      </w:r>
      <w:r w:rsidR="00D802E7">
        <w:rPr>
          <w:rFonts w:ascii="David" w:hAnsi="David" w:cs="David" w:hint="cs"/>
          <w:sz w:val="24"/>
          <w:szCs w:val="24"/>
          <w:rtl/>
        </w:rPr>
        <w:t>ה</w:t>
      </w:r>
      <w:r w:rsidR="00D802E7">
        <w:rPr>
          <w:rFonts w:ascii="David" w:hAnsi="David" w:cs="David"/>
          <w:sz w:val="24"/>
          <w:szCs w:val="24"/>
          <w:rtl/>
        </w:rPr>
        <w:t xml:space="preserve">נכס </w:t>
      </w:r>
      <w:r w:rsidR="00D802E7">
        <w:rPr>
          <w:rFonts w:ascii="David" w:hAnsi="David" w:cs="David" w:hint="cs"/>
          <w:sz w:val="24"/>
          <w:szCs w:val="24"/>
          <w:rtl/>
        </w:rPr>
        <w:t>כ</w:t>
      </w:r>
      <w:r w:rsidRPr="000E7421">
        <w:rPr>
          <w:rFonts w:ascii="David" w:hAnsi="David" w:cs="David"/>
          <w:sz w:val="24"/>
          <w:szCs w:val="24"/>
          <w:rtl/>
        </w:rPr>
        <w:t>נכס תפוס</w:t>
      </w:r>
      <w:r w:rsidRPr="000E7421">
        <w:rPr>
          <w:rFonts w:ascii="David" w:hAnsi="David" w:hint="cs"/>
          <w:rtl/>
        </w:rPr>
        <w:t xml:space="preserve">. </w:t>
      </w:r>
    </w:p>
    <w:p w:rsidR="0051526B" w:rsidRDefault="005D4E8C" w:rsidP="002931B7">
      <w:pPr>
        <w:pStyle w:val="af"/>
        <w:spacing w:line="360" w:lineRule="auto"/>
        <w:ind w:left="360"/>
        <w:jc w:val="both"/>
        <w:rPr>
          <w:rFonts w:ascii="David" w:hAnsi="David" w:cs="David"/>
          <w:sz w:val="24"/>
          <w:szCs w:val="24"/>
          <w:rtl/>
        </w:rPr>
      </w:pPr>
      <w:r w:rsidRPr="00D802E7">
        <w:rPr>
          <w:rFonts w:ascii="David" w:hAnsi="David" w:cs="David"/>
          <w:sz w:val="24"/>
          <w:szCs w:val="24"/>
          <w:rtl/>
        </w:rPr>
        <w:t>לענ</w:t>
      </w:r>
      <w:r w:rsidR="00D802E7">
        <w:rPr>
          <w:rFonts w:ascii="David" w:hAnsi="David" w:cs="David" w:hint="cs"/>
          <w:sz w:val="24"/>
          <w:szCs w:val="24"/>
          <w:rtl/>
        </w:rPr>
        <w:t>י</w:t>
      </w:r>
      <w:r w:rsidRPr="00D802E7">
        <w:rPr>
          <w:rFonts w:ascii="David" w:hAnsi="David" w:cs="David"/>
          <w:sz w:val="24"/>
          <w:szCs w:val="24"/>
          <w:rtl/>
        </w:rPr>
        <w:t xml:space="preserve">ין "השקעות הנתבעים בנכס", הבוררת העריכה את שווי השקעות על דרך </w:t>
      </w:r>
      <w:r w:rsidR="00EB01EC" w:rsidRPr="00D802E7">
        <w:rPr>
          <w:rFonts w:ascii="David" w:hAnsi="David" w:cs="David" w:hint="cs"/>
          <w:sz w:val="24"/>
          <w:szCs w:val="24"/>
          <w:rtl/>
        </w:rPr>
        <w:t>האומדנה</w:t>
      </w:r>
      <w:r w:rsidRPr="00D802E7">
        <w:rPr>
          <w:rFonts w:ascii="David" w:hAnsi="David" w:cs="David"/>
          <w:sz w:val="24"/>
          <w:szCs w:val="24"/>
          <w:rtl/>
        </w:rPr>
        <w:t>.</w:t>
      </w:r>
    </w:p>
    <w:p w:rsidR="0051526B" w:rsidRDefault="005D4E8C" w:rsidP="002931B7">
      <w:pPr>
        <w:pStyle w:val="af"/>
        <w:spacing w:line="360" w:lineRule="auto"/>
        <w:ind w:left="360"/>
        <w:jc w:val="both"/>
        <w:rPr>
          <w:rFonts w:ascii="David" w:hAnsi="David" w:cs="David"/>
          <w:sz w:val="24"/>
          <w:szCs w:val="24"/>
          <w:rtl/>
        </w:rPr>
      </w:pPr>
      <w:r w:rsidRPr="0051526B">
        <w:rPr>
          <w:rFonts w:ascii="David" w:hAnsi="David" w:cs="David"/>
          <w:sz w:val="24"/>
          <w:szCs w:val="24"/>
          <w:rtl/>
        </w:rPr>
        <w:t>לענ</w:t>
      </w:r>
      <w:r w:rsidR="00913167">
        <w:rPr>
          <w:rFonts w:ascii="David" w:hAnsi="David" w:cs="David" w:hint="cs"/>
          <w:sz w:val="24"/>
          <w:szCs w:val="24"/>
          <w:rtl/>
        </w:rPr>
        <w:t>י</w:t>
      </w:r>
      <w:r w:rsidRPr="0051526B">
        <w:rPr>
          <w:rFonts w:ascii="David" w:hAnsi="David" w:cs="David"/>
          <w:sz w:val="24"/>
          <w:szCs w:val="24"/>
          <w:rtl/>
        </w:rPr>
        <w:t>ין תביעת דמי שימוש, קבעה כב' הבוררת כי "התובעים אינם זכאים לדמי שימוש ראויים בגין שימוש הנתבעים בנכס"</w:t>
      </w:r>
    </w:p>
    <w:p w:rsidR="0013508B" w:rsidRDefault="005D4E8C" w:rsidP="0013508B">
      <w:pPr>
        <w:pStyle w:val="af"/>
        <w:spacing w:line="360" w:lineRule="auto"/>
        <w:ind w:left="360"/>
        <w:jc w:val="both"/>
        <w:rPr>
          <w:rFonts w:ascii="David" w:hAnsi="David" w:cs="David"/>
          <w:sz w:val="24"/>
          <w:szCs w:val="24"/>
          <w:rtl/>
        </w:rPr>
      </w:pPr>
      <w:r w:rsidRPr="0051526B">
        <w:rPr>
          <w:rFonts w:ascii="David" w:hAnsi="David" w:cs="David"/>
          <w:sz w:val="24"/>
          <w:szCs w:val="24"/>
          <w:rtl/>
        </w:rPr>
        <w:t>בסוף ב"תוצאה" קבעה כב' הבוררת , כי :</w:t>
      </w:r>
    </w:p>
    <w:p w:rsidR="0013508B" w:rsidRPr="0013508B" w:rsidRDefault="005D4E8C" w:rsidP="0013508B">
      <w:pPr>
        <w:pStyle w:val="af"/>
        <w:spacing w:line="360" w:lineRule="auto"/>
        <w:ind w:left="360"/>
        <w:jc w:val="both"/>
        <w:rPr>
          <w:rFonts w:ascii="David" w:hAnsi="David" w:cs="David"/>
          <w:b/>
          <w:bCs/>
          <w:sz w:val="24"/>
          <w:szCs w:val="24"/>
          <w:rtl/>
        </w:rPr>
      </w:pPr>
      <w:r w:rsidRPr="00D802E7">
        <w:rPr>
          <w:rFonts w:ascii="David" w:hAnsi="David" w:hint="cs"/>
          <w:rtl/>
        </w:rPr>
        <w:t>"</w:t>
      </w:r>
      <w:r w:rsidRPr="0013508B">
        <w:rPr>
          <w:rFonts w:ascii="David" w:hAnsi="David" w:cs="David"/>
          <w:b/>
          <w:bCs/>
          <w:sz w:val="24"/>
          <w:szCs w:val="24"/>
          <w:rtl/>
        </w:rPr>
        <w:t>שווי הזכויות בנכס להם זכאים התובעים עומד על סך של 774,000ש</w:t>
      </w:r>
      <w:r w:rsidR="00614213" w:rsidRPr="0013508B">
        <w:rPr>
          <w:rFonts w:ascii="David" w:hAnsi="David" w:cs="David"/>
          <w:b/>
          <w:bCs/>
          <w:sz w:val="24"/>
          <w:szCs w:val="24"/>
          <w:rtl/>
        </w:rPr>
        <w:t>"</w:t>
      </w:r>
      <w:r w:rsidRPr="0013508B">
        <w:rPr>
          <w:rFonts w:ascii="David" w:hAnsi="David" w:cs="David"/>
          <w:b/>
          <w:bCs/>
          <w:sz w:val="24"/>
          <w:szCs w:val="24"/>
          <w:rtl/>
        </w:rPr>
        <w:t>ח כמשקף את שווי הנכס כתפוס וכן את שווי הזכויות הבנייה ..."</w:t>
      </w:r>
    </w:p>
    <w:p w:rsidR="0013508B" w:rsidRPr="0013508B" w:rsidRDefault="005D4E8C" w:rsidP="0013508B">
      <w:pPr>
        <w:pStyle w:val="af"/>
        <w:spacing w:line="360" w:lineRule="auto"/>
        <w:ind w:left="360"/>
        <w:jc w:val="both"/>
        <w:rPr>
          <w:rFonts w:ascii="David" w:hAnsi="David" w:cs="David"/>
          <w:b/>
          <w:bCs/>
          <w:sz w:val="24"/>
          <w:szCs w:val="24"/>
          <w:rtl/>
        </w:rPr>
      </w:pPr>
      <w:r w:rsidRPr="0013508B">
        <w:rPr>
          <w:rFonts w:ascii="David" w:hAnsi="David" w:cs="David"/>
          <w:b/>
          <w:bCs/>
          <w:sz w:val="24"/>
          <w:szCs w:val="24"/>
          <w:rtl/>
        </w:rPr>
        <w:t>כאשר מסכום זה יש להפחית סך של 236,000 ש</w:t>
      </w:r>
      <w:r w:rsidR="00614213" w:rsidRPr="0013508B">
        <w:rPr>
          <w:rFonts w:ascii="David" w:hAnsi="David" w:cs="David"/>
          <w:b/>
          <w:bCs/>
          <w:sz w:val="24"/>
          <w:szCs w:val="24"/>
          <w:rtl/>
        </w:rPr>
        <w:t>"</w:t>
      </w:r>
      <w:r w:rsidRPr="0013508B">
        <w:rPr>
          <w:rFonts w:ascii="David" w:hAnsi="David" w:cs="David"/>
          <w:b/>
          <w:bCs/>
          <w:sz w:val="24"/>
          <w:szCs w:val="24"/>
          <w:rtl/>
        </w:rPr>
        <w:t>ח הוא סכום ההשקעות וההוצאות בהם נשאו הנתבעים בגין הנכס לאורך השנים..</w:t>
      </w:r>
    </w:p>
    <w:p w:rsidR="0013508B" w:rsidRPr="0013508B" w:rsidRDefault="005D4E8C" w:rsidP="0013508B">
      <w:pPr>
        <w:pStyle w:val="af"/>
        <w:spacing w:line="360" w:lineRule="auto"/>
        <w:ind w:left="360"/>
        <w:jc w:val="both"/>
        <w:rPr>
          <w:rFonts w:ascii="David" w:hAnsi="David" w:cs="David"/>
          <w:b/>
          <w:bCs/>
          <w:sz w:val="24"/>
          <w:szCs w:val="24"/>
          <w:rtl/>
        </w:rPr>
      </w:pPr>
      <w:r w:rsidRPr="0013508B">
        <w:rPr>
          <w:rFonts w:ascii="David" w:hAnsi="David" w:cs="David"/>
          <w:b/>
          <w:bCs/>
          <w:sz w:val="24"/>
          <w:szCs w:val="24"/>
          <w:rtl/>
        </w:rPr>
        <w:t>התוצאה היא כי על הנתבעים לשלם לתובעים בגין שווי זכויותיהם בנכס סך כולל של 538,000 שח... התשלום האמור יבוצע תוך 90ימים מיום מתן פסק ב</w:t>
      </w:r>
      <w:r w:rsidR="002E2DF7" w:rsidRPr="0013508B">
        <w:rPr>
          <w:rFonts w:ascii="David" w:hAnsi="David" w:cs="David"/>
          <w:b/>
          <w:bCs/>
          <w:sz w:val="24"/>
          <w:szCs w:val="24"/>
          <w:rtl/>
        </w:rPr>
        <w:t>וררות זה..</w:t>
      </w:r>
      <w:r w:rsidRPr="0013508B">
        <w:rPr>
          <w:rFonts w:ascii="David" w:hAnsi="David" w:cs="David"/>
          <w:b/>
          <w:bCs/>
          <w:sz w:val="24"/>
          <w:szCs w:val="24"/>
          <w:rtl/>
        </w:rPr>
        <w:t xml:space="preserve"> ולא יישא הפרשי הצמדה וריבית כדין"</w:t>
      </w:r>
    </w:p>
    <w:p w:rsidR="005D4E8C" w:rsidRPr="0013508B" w:rsidRDefault="005D4E8C" w:rsidP="0013508B">
      <w:pPr>
        <w:pStyle w:val="af"/>
        <w:spacing w:line="360" w:lineRule="auto"/>
        <w:ind w:left="360"/>
        <w:jc w:val="both"/>
        <w:rPr>
          <w:rFonts w:ascii="David" w:hAnsi="David" w:cs="David"/>
          <w:sz w:val="24"/>
          <w:szCs w:val="24"/>
          <w:rtl/>
        </w:rPr>
      </w:pPr>
      <w:r w:rsidRPr="0013508B">
        <w:rPr>
          <w:rFonts w:ascii="David" w:hAnsi="David" w:cs="David"/>
          <w:b/>
          <w:bCs/>
          <w:sz w:val="24"/>
          <w:szCs w:val="24"/>
          <w:rtl/>
        </w:rPr>
        <w:t>"עם ביצוע התשלום יהיו רשאים הנתבעים להירשם כבעלים יחידים בנכס וכי הערות האזהרה למיניהן שנרשמו לטובת התובעים יבוטלו</w:t>
      </w:r>
      <w:r w:rsidRPr="0013508B">
        <w:rPr>
          <w:rFonts w:ascii="David" w:hAnsi="David" w:cs="David"/>
          <w:sz w:val="24"/>
          <w:szCs w:val="24"/>
          <w:rtl/>
        </w:rPr>
        <w:t>".</w:t>
      </w:r>
    </w:p>
    <w:p w:rsidR="005D4E8C" w:rsidRPr="006A3A60" w:rsidRDefault="005D4E8C" w:rsidP="002931B7">
      <w:pPr>
        <w:pStyle w:val="af"/>
        <w:spacing w:line="360" w:lineRule="auto"/>
        <w:jc w:val="both"/>
        <w:rPr>
          <w:rFonts w:ascii="David" w:hAnsi="David" w:cs="David"/>
          <w:sz w:val="24"/>
          <w:szCs w:val="24"/>
          <w:rtl/>
        </w:rPr>
      </w:pPr>
    </w:p>
    <w:p w:rsidR="005D4E8C" w:rsidRPr="002E2DF7" w:rsidRDefault="005D4E8C" w:rsidP="002931B7">
      <w:pPr>
        <w:pStyle w:val="af"/>
        <w:numPr>
          <w:ilvl w:val="0"/>
          <w:numId w:val="2"/>
        </w:numPr>
        <w:spacing w:line="360" w:lineRule="auto"/>
        <w:jc w:val="both"/>
        <w:rPr>
          <w:rFonts w:ascii="David" w:hAnsi="David" w:cs="David"/>
          <w:sz w:val="24"/>
          <w:szCs w:val="24"/>
        </w:rPr>
      </w:pPr>
      <w:r w:rsidRPr="006A3A60">
        <w:rPr>
          <w:rFonts w:ascii="David" w:hAnsi="David" w:cs="David" w:hint="cs"/>
          <w:sz w:val="24"/>
          <w:szCs w:val="24"/>
          <w:rtl/>
        </w:rPr>
        <w:t>התובעים הגישו שתי תביעות בענ</w:t>
      </w:r>
      <w:r w:rsidR="00D802E7">
        <w:rPr>
          <w:rFonts w:ascii="David" w:hAnsi="David" w:cs="David" w:hint="cs"/>
          <w:sz w:val="24"/>
          <w:szCs w:val="24"/>
          <w:rtl/>
        </w:rPr>
        <w:t>י</w:t>
      </w:r>
      <w:r w:rsidRPr="006A3A60">
        <w:rPr>
          <w:rFonts w:ascii="David" w:hAnsi="David" w:cs="David" w:hint="cs"/>
          <w:sz w:val="24"/>
          <w:szCs w:val="24"/>
          <w:rtl/>
        </w:rPr>
        <w:t>ין הליך הבוררות:</w:t>
      </w:r>
    </w:p>
    <w:p w:rsidR="00991F93" w:rsidRPr="002E2DF7" w:rsidRDefault="002E2DF7" w:rsidP="002931B7">
      <w:pPr>
        <w:pStyle w:val="af"/>
        <w:numPr>
          <w:ilvl w:val="0"/>
          <w:numId w:val="8"/>
        </w:numPr>
        <w:spacing w:line="360" w:lineRule="auto"/>
        <w:jc w:val="both"/>
        <w:rPr>
          <w:rFonts w:ascii="David" w:hAnsi="David" w:cs="David"/>
          <w:sz w:val="24"/>
          <w:szCs w:val="24"/>
        </w:rPr>
      </w:pPr>
      <w:r>
        <w:rPr>
          <w:rFonts w:ascii="David" w:hAnsi="David" w:cs="David" w:hint="cs"/>
          <w:sz w:val="24"/>
          <w:szCs w:val="24"/>
          <w:rtl/>
        </w:rPr>
        <w:t>ת"ב</w:t>
      </w:r>
      <w:r w:rsidR="00D802E7">
        <w:rPr>
          <w:rFonts w:ascii="David" w:hAnsi="David" w:cs="David" w:hint="cs"/>
          <w:sz w:val="24"/>
          <w:szCs w:val="24"/>
          <w:rtl/>
        </w:rPr>
        <w:t xml:space="preserve"> 42461-06-20- תביעה לביטול פסק בוררות,</w:t>
      </w:r>
      <w:r w:rsidR="005D4E8C" w:rsidRPr="006A3A60">
        <w:rPr>
          <w:rFonts w:ascii="David" w:hAnsi="David" w:cs="David" w:hint="cs"/>
          <w:sz w:val="24"/>
          <w:szCs w:val="24"/>
          <w:rtl/>
        </w:rPr>
        <w:t xml:space="preserve"> בה עתרו לב</w:t>
      </w:r>
      <w:r w:rsidR="005D4E8C">
        <w:rPr>
          <w:rFonts w:ascii="David" w:hAnsi="David" w:cs="David" w:hint="cs"/>
          <w:sz w:val="24"/>
          <w:szCs w:val="24"/>
          <w:rtl/>
        </w:rPr>
        <w:t xml:space="preserve">טל את פסק הבוררות בהתאם לסעיף 24 </w:t>
      </w:r>
      <w:r w:rsidR="005D4E8C" w:rsidRPr="006A3A60">
        <w:rPr>
          <w:rFonts w:ascii="David" w:hAnsi="David" w:cs="David" w:hint="cs"/>
          <w:sz w:val="24"/>
          <w:szCs w:val="24"/>
          <w:rtl/>
        </w:rPr>
        <w:t>לחוק הבוררות</w:t>
      </w:r>
      <w:r w:rsidR="00D802E7">
        <w:rPr>
          <w:rFonts w:ascii="David" w:hAnsi="David" w:cs="David" w:hint="cs"/>
          <w:sz w:val="24"/>
          <w:szCs w:val="24"/>
          <w:rtl/>
        </w:rPr>
        <w:t>;</w:t>
      </w:r>
      <w:r w:rsidR="005D4E8C">
        <w:rPr>
          <w:rFonts w:ascii="David" w:hAnsi="David" w:cs="David" w:hint="cs"/>
          <w:sz w:val="24"/>
          <w:szCs w:val="24"/>
          <w:rtl/>
        </w:rPr>
        <w:t xml:space="preserve"> </w:t>
      </w:r>
      <w:r w:rsidR="005D4E8C" w:rsidRPr="006A3A60">
        <w:rPr>
          <w:rFonts w:ascii="David" w:hAnsi="David" w:cs="David" w:hint="cs"/>
          <w:sz w:val="24"/>
          <w:szCs w:val="24"/>
          <w:rtl/>
        </w:rPr>
        <w:t>לחילופין, להורות על תיקון פסק הבוררות ו/או ליתן סעד אחר ככל שיראה לנכון בנסיבות העני</w:t>
      </w:r>
      <w:r w:rsidR="00D802E7">
        <w:rPr>
          <w:rFonts w:ascii="David" w:hAnsi="David" w:cs="David" w:hint="cs"/>
          <w:sz w:val="24"/>
          <w:szCs w:val="24"/>
          <w:rtl/>
        </w:rPr>
        <w:t>י</w:t>
      </w:r>
      <w:r w:rsidR="005D4E8C" w:rsidRPr="006A3A60">
        <w:rPr>
          <w:rFonts w:ascii="David" w:hAnsi="David" w:cs="David" w:hint="cs"/>
          <w:sz w:val="24"/>
          <w:szCs w:val="24"/>
          <w:rtl/>
        </w:rPr>
        <w:t>ן.</w:t>
      </w:r>
    </w:p>
    <w:p w:rsidR="005D4E8C" w:rsidRDefault="00D802E7" w:rsidP="002931B7">
      <w:pPr>
        <w:pStyle w:val="af"/>
        <w:numPr>
          <w:ilvl w:val="0"/>
          <w:numId w:val="8"/>
        </w:numPr>
        <w:spacing w:line="360" w:lineRule="auto"/>
        <w:jc w:val="both"/>
        <w:rPr>
          <w:rFonts w:ascii="David" w:hAnsi="David" w:cs="David"/>
          <w:sz w:val="24"/>
          <w:szCs w:val="24"/>
        </w:rPr>
      </w:pPr>
      <w:r>
        <w:rPr>
          <w:rFonts w:ascii="David" w:hAnsi="David" w:cs="David" w:hint="cs"/>
          <w:sz w:val="24"/>
          <w:szCs w:val="24"/>
          <w:rtl/>
        </w:rPr>
        <w:t>תמ</w:t>
      </w:r>
      <w:r w:rsidR="002E2DF7">
        <w:rPr>
          <w:rFonts w:ascii="David" w:hAnsi="David" w:cs="David" w:hint="cs"/>
          <w:sz w:val="24"/>
          <w:szCs w:val="24"/>
          <w:rtl/>
        </w:rPr>
        <w:t>"</w:t>
      </w:r>
      <w:r>
        <w:rPr>
          <w:rFonts w:ascii="David" w:hAnsi="David" w:cs="David" w:hint="cs"/>
          <w:sz w:val="24"/>
          <w:szCs w:val="24"/>
          <w:rtl/>
        </w:rPr>
        <w:t>ש 53646-07-20-</w:t>
      </w:r>
      <w:r w:rsidR="005D4E8C" w:rsidRPr="00422DD8">
        <w:rPr>
          <w:rFonts w:ascii="David" w:hAnsi="David" w:cs="David" w:hint="cs"/>
          <w:sz w:val="24"/>
          <w:szCs w:val="24"/>
          <w:rtl/>
        </w:rPr>
        <w:t xml:space="preserve"> תביעה לביטול פסק דין ש</w:t>
      </w:r>
      <w:r w:rsidR="002E2DF7">
        <w:rPr>
          <w:rFonts w:ascii="David" w:hAnsi="David" w:cs="David" w:hint="cs"/>
          <w:sz w:val="24"/>
          <w:szCs w:val="24"/>
          <w:rtl/>
        </w:rPr>
        <w:t>ל בית משפט זה מיום 12/11/18 , שהורה על העברת ההליך לבוררות,</w:t>
      </w:r>
      <w:r w:rsidR="005D4E8C" w:rsidRPr="00422DD8">
        <w:rPr>
          <w:rFonts w:ascii="David" w:hAnsi="David" w:cs="David" w:hint="cs"/>
          <w:sz w:val="24"/>
          <w:szCs w:val="24"/>
          <w:rtl/>
        </w:rPr>
        <w:t xml:space="preserve"> ביטול הליך הבוררות בין הצדדים, ביטול מינויה של כב' הבוררת כבוררת בתיקים, והשבת התיקים לדיון בפני בית משפט זה. לחילופין, להורות על העברת כב' הבוררת מתפקידה </w:t>
      </w:r>
      <w:r w:rsidR="00991F93">
        <w:rPr>
          <w:rFonts w:ascii="David" w:hAnsi="David" w:cs="David" w:hint="cs"/>
          <w:sz w:val="24"/>
          <w:szCs w:val="24"/>
          <w:rtl/>
        </w:rPr>
        <w:t>כבוררת בתיקים, ומינוי בורר חליף</w:t>
      </w:r>
      <w:r w:rsidR="005D4E8C">
        <w:rPr>
          <w:rFonts w:ascii="David" w:hAnsi="David" w:cs="David" w:hint="cs"/>
          <w:sz w:val="24"/>
          <w:szCs w:val="24"/>
          <w:rtl/>
        </w:rPr>
        <w:t>.</w:t>
      </w:r>
    </w:p>
    <w:p w:rsidR="005D4E8C" w:rsidRDefault="00991F93" w:rsidP="002931B7">
      <w:pPr>
        <w:pStyle w:val="af"/>
        <w:numPr>
          <w:ilvl w:val="0"/>
          <w:numId w:val="8"/>
        </w:numPr>
        <w:spacing w:line="360" w:lineRule="auto"/>
        <w:jc w:val="both"/>
        <w:rPr>
          <w:rFonts w:ascii="David" w:hAnsi="David" w:cs="David"/>
          <w:sz w:val="24"/>
          <w:szCs w:val="24"/>
        </w:rPr>
      </w:pPr>
      <w:r w:rsidRPr="000C263E">
        <w:rPr>
          <w:rFonts w:ascii="David" w:hAnsi="David" w:cs="David"/>
          <w:sz w:val="24"/>
          <w:szCs w:val="24"/>
          <w:rtl/>
        </w:rPr>
        <w:t>הנתבעים</w:t>
      </w:r>
      <w:r w:rsidRPr="00991F93">
        <w:rPr>
          <w:rFonts w:ascii="David" w:hAnsi="David" w:hint="cs"/>
          <w:rtl/>
        </w:rPr>
        <w:t xml:space="preserve"> </w:t>
      </w:r>
      <w:r w:rsidR="005D4E8C" w:rsidRPr="00991F93">
        <w:rPr>
          <w:rFonts w:ascii="David" w:hAnsi="David" w:cs="David" w:hint="cs"/>
          <w:sz w:val="24"/>
          <w:szCs w:val="24"/>
          <w:rtl/>
        </w:rPr>
        <w:t xml:space="preserve"> הגישו כל אחד מהם כתב הגנה מטעמו, ועתרו לדחות את התביעה.</w:t>
      </w:r>
    </w:p>
    <w:p w:rsidR="005D4E8C" w:rsidRPr="00991F93" w:rsidRDefault="00991F93" w:rsidP="002931B7">
      <w:pPr>
        <w:pStyle w:val="af"/>
        <w:numPr>
          <w:ilvl w:val="0"/>
          <w:numId w:val="8"/>
        </w:numPr>
        <w:spacing w:line="360" w:lineRule="auto"/>
        <w:jc w:val="both"/>
        <w:rPr>
          <w:rFonts w:ascii="David" w:hAnsi="David" w:cs="David"/>
          <w:sz w:val="24"/>
          <w:szCs w:val="24"/>
        </w:rPr>
      </w:pPr>
      <w:r>
        <w:rPr>
          <w:rFonts w:ascii="David" w:hAnsi="David" w:cs="David" w:hint="cs"/>
          <w:sz w:val="24"/>
          <w:szCs w:val="24"/>
          <w:rtl/>
        </w:rPr>
        <w:t xml:space="preserve">ביהמ"ש הורה </w:t>
      </w:r>
      <w:r w:rsidR="005D4E8C" w:rsidRPr="00991F93">
        <w:rPr>
          <w:rFonts w:ascii="David" w:hAnsi="David" w:cs="David" w:hint="cs"/>
          <w:sz w:val="24"/>
          <w:szCs w:val="24"/>
          <w:rtl/>
        </w:rPr>
        <w:t xml:space="preserve"> על איחוד שני תקים אלה.</w:t>
      </w:r>
    </w:p>
    <w:p w:rsidR="005D4E8C" w:rsidRPr="006A3A60" w:rsidRDefault="005D4E8C" w:rsidP="002931B7">
      <w:pPr>
        <w:pStyle w:val="af"/>
        <w:spacing w:line="360" w:lineRule="auto"/>
        <w:jc w:val="both"/>
        <w:rPr>
          <w:rFonts w:ascii="David" w:hAnsi="David" w:cs="David"/>
          <w:b/>
          <w:bCs/>
          <w:sz w:val="24"/>
          <w:szCs w:val="24"/>
          <w:u w:val="single"/>
        </w:rPr>
      </w:pPr>
    </w:p>
    <w:p w:rsidR="005D4E8C" w:rsidRPr="006A3A60" w:rsidRDefault="00991F93" w:rsidP="002931B7">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lastRenderedPageBreak/>
        <w:t>התובע</w:t>
      </w:r>
      <w:r w:rsidR="005D4E8C" w:rsidRPr="006A3A60">
        <w:rPr>
          <w:rFonts w:ascii="David" w:hAnsi="David" w:cs="David" w:hint="cs"/>
          <w:sz w:val="24"/>
          <w:szCs w:val="24"/>
          <w:rtl/>
        </w:rPr>
        <w:t xml:space="preserve"> הגיש תצהיר </w:t>
      </w:r>
      <w:r>
        <w:rPr>
          <w:rFonts w:ascii="David" w:hAnsi="David" w:cs="David" w:hint="cs"/>
          <w:sz w:val="24"/>
          <w:szCs w:val="24"/>
          <w:rtl/>
        </w:rPr>
        <w:t>עדות ראשית, בשמו ובשם התובעת</w:t>
      </w:r>
      <w:r w:rsidR="00893D05">
        <w:rPr>
          <w:rFonts w:ascii="David" w:hAnsi="David" w:cs="David" w:hint="cs"/>
          <w:sz w:val="24"/>
          <w:szCs w:val="24"/>
          <w:rtl/>
        </w:rPr>
        <w:t xml:space="preserve">; ומטעמם הגיש עו"ד </w:t>
      </w:r>
      <w:r w:rsidR="005D4E8C" w:rsidRPr="006A3A60">
        <w:rPr>
          <w:rFonts w:ascii="David" w:hAnsi="David" w:cs="David" w:hint="cs"/>
          <w:sz w:val="24"/>
          <w:szCs w:val="24"/>
          <w:rtl/>
        </w:rPr>
        <w:t xml:space="preserve"> עותמאן תצהיר עדות ראשית. הנתבעים 1-2 הגישו בעצמם תצהירי עדות ראשית. בתום שמיעת הראיות, הגישו הצדדים סיכומים בכתב. התובעים הגישו גם סיכומי תשובה.</w:t>
      </w:r>
    </w:p>
    <w:p w:rsidR="005D4E8C" w:rsidRDefault="005D4E8C" w:rsidP="002931B7">
      <w:pPr>
        <w:spacing w:line="360" w:lineRule="auto"/>
        <w:jc w:val="both"/>
        <w:rPr>
          <w:rFonts w:ascii="David" w:hAnsi="David"/>
          <w:b/>
          <w:bCs/>
          <w:u w:val="single"/>
          <w:rtl/>
        </w:rPr>
      </w:pPr>
    </w:p>
    <w:p w:rsidR="005D4E8C" w:rsidRPr="002E2DF7" w:rsidRDefault="005D4E8C" w:rsidP="002931B7">
      <w:pPr>
        <w:spacing w:line="360" w:lineRule="auto"/>
        <w:jc w:val="both"/>
        <w:rPr>
          <w:rFonts w:ascii="David" w:hAnsi="David"/>
          <w:b/>
          <w:bCs/>
          <w:sz w:val="32"/>
          <w:szCs w:val="32"/>
          <w:u w:val="single"/>
          <w:rtl/>
        </w:rPr>
      </w:pPr>
      <w:r w:rsidRPr="002E2DF7">
        <w:rPr>
          <w:rFonts w:ascii="David" w:hAnsi="David" w:hint="cs"/>
          <w:b/>
          <w:bCs/>
          <w:sz w:val="32"/>
          <w:szCs w:val="32"/>
          <w:u w:val="single"/>
          <w:rtl/>
        </w:rPr>
        <w:t>תביעה לביטול פסק בוררות</w:t>
      </w:r>
      <w:r w:rsidR="002E2DF7">
        <w:rPr>
          <w:rFonts w:ascii="David" w:hAnsi="David" w:hint="cs"/>
          <w:b/>
          <w:bCs/>
          <w:sz w:val="32"/>
          <w:szCs w:val="32"/>
          <w:u w:val="single"/>
          <w:rtl/>
        </w:rPr>
        <w:t xml:space="preserve">-ת"ב </w:t>
      </w:r>
      <w:r w:rsidRPr="002E2DF7">
        <w:rPr>
          <w:rFonts w:ascii="David" w:hAnsi="David" w:hint="cs"/>
          <w:b/>
          <w:bCs/>
          <w:sz w:val="32"/>
          <w:szCs w:val="32"/>
          <w:u w:val="single"/>
          <w:rtl/>
        </w:rPr>
        <w:t xml:space="preserve"> 42461-06-20 </w:t>
      </w:r>
    </w:p>
    <w:p w:rsidR="005D4E8C" w:rsidRPr="006A3A60" w:rsidRDefault="005D4E8C" w:rsidP="002931B7">
      <w:pPr>
        <w:spacing w:line="360" w:lineRule="auto"/>
        <w:jc w:val="both"/>
        <w:rPr>
          <w:rFonts w:ascii="David" w:hAnsi="David"/>
          <w:b/>
          <w:bCs/>
          <w:u w:val="single"/>
        </w:rPr>
      </w:pPr>
      <w:r w:rsidRPr="006A3A60">
        <w:rPr>
          <w:rFonts w:ascii="David" w:hAnsi="David" w:hint="cs"/>
          <w:b/>
          <w:bCs/>
          <w:u w:val="single"/>
          <w:rtl/>
        </w:rPr>
        <w:t>מצב משפטי</w:t>
      </w:r>
    </w:p>
    <w:p w:rsidR="005D4E8C" w:rsidRPr="000479CC" w:rsidRDefault="005D4E8C" w:rsidP="002931B7">
      <w:pPr>
        <w:pStyle w:val="af"/>
        <w:numPr>
          <w:ilvl w:val="0"/>
          <w:numId w:val="2"/>
        </w:numPr>
        <w:spacing w:line="360" w:lineRule="auto"/>
        <w:jc w:val="both"/>
        <w:rPr>
          <w:rFonts w:ascii="David" w:hAnsi="David" w:cs="David"/>
          <w:sz w:val="24"/>
          <w:szCs w:val="24"/>
        </w:rPr>
      </w:pPr>
      <w:r w:rsidRPr="000479CC">
        <w:rPr>
          <w:rFonts w:ascii="David" w:hAnsi="David" w:cs="David" w:hint="cs"/>
          <w:sz w:val="24"/>
          <w:szCs w:val="24"/>
          <w:rtl/>
        </w:rPr>
        <w:t>סעיף 24 לחוק הבוררות קובע:</w:t>
      </w:r>
    </w:p>
    <w:p w:rsidR="005D4E8C" w:rsidRPr="00A16621" w:rsidRDefault="005D4E8C" w:rsidP="002931B7">
      <w:pPr>
        <w:spacing w:line="360" w:lineRule="auto"/>
        <w:ind w:left="360"/>
        <w:jc w:val="both"/>
        <w:rPr>
          <w:rFonts w:ascii="David" w:hAnsi="David"/>
          <w:rtl/>
        </w:rPr>
      </w:pPr>
      <w:r w:rsidRPr="00A16621">
        <w:rPr>
          <w:rFonts w:ascii="David" w:hAnsi="David"/>
          <w:b/>
          <w:bCs/>
          <w:rtl/>
        </w:rPr>
        <w:t>ביטול פסק בוררות</w:t>
      </w:r>
    </w:p>
    <w:p w:rsidR="005D4E8C" w:rsidRPr="00A16621" w:rsidRDefault="005D4E8C" w:rsidP="002931B7">
      <w:pPr>
        <w:spacing w:line="360" w:lineRule="auto"/>
        <w:ind w:left="360"/>
        <w:jc w:val="both"/>
        <w:rPr>
          <w:rFonts w:ascii="David" w:hAnsi="David"/>
          <w:b/>
          <w:bCs/>
          <w:rtl/>
        </w:rPr>
      </w:pPr>
      <w:r w:rsidRPr="00A16621">
        <w:rPr>
          <w:rFonts w:ascii="David" w:hAnsi="David"/>
          <w:b/>
          <w:bCs/>
          <w:rtl/>
        </w:rPr>
        <w:t>בית המשפט רשאי, על פי בקשת בעל-דין (בחוק זה – בקשת ביטול), לבטל פסק בוררות, כולו או חלקו, להשלימו, לתקנו או להחזירו לבורר, מאחת העילות האלה:</w:t>
      </w:r>
    </w:p>
    <w:p w:rsidR="005D4E8C" w:rsidRPr="00A16621" w:rsidRDefault="005D4E8C" w:rsidP="002931B7">
      <w:pPr>
        <w:spacing w:line="360" w:lineRule="auto"/>
        <w:ind w:firstLine="360"/>
        <w:jc w:val="both"/>
        <w:rPr>
          <w:rFonts w:ascii="David" w:hAnsi="David"/>
          <w:b/>
          <w:bCs/>
          <w:rtl/>
        </w:rPr>
      </w:pPr>
      <w:r w:rsidRPr="00A16621">
        <w:rPr>
          <w:rFonts w:ascii="David" w:hAnsi="David"/>
          <w:b/>
          <w:bCs/>
          <w:rtl/>
        </w:rPr>
        <w:t>(1)לא היה הסכם בוררות בר-תוקף;</w:t>
      </w:r>
    </w:p>
    <w:p w:rsidR="005D4E8C" w:rsidRPr="00A16621" w:rsidRDefault="005D4E8C" w:rsidP="002931B7">
      <w:pPr>
        <w:spacing w:line="360" w:lineRule="auto"/>
        <w:ind w:firstLine="360"/>
        <w:jc w:val="both"/>
        <w:rPr>
          <w:rFonts w:ascii="David" w:hAnsi="David"/>
          <w:b/>
          <w:bCs/>
          <w:rtl/>
        </w:rPr>
      </w:pPr>
      <w:r w:rsidRPr="00A16621">
        <w:rPr>
          <w:rFonts w:ascii="David" w:hAnsi="David"/>
          <w:b/>
          <w:bCs/>
          <w:rtl/>
        </w:rPr>
        <w:t>(2)הפסק ניתן על ידי בורר שלא נתמנה כדין;</w:t>
      </w:r>
    </w:p>
    <w:p w:rsidR="005D4E8C" w:rsidRPr="00A16621" w:rsidRDefault="005D4E8C" w:rsidP="002931B7">
      <w:pPr>
        <w:spacing w:line="360" w:lineRule="auto"/>
        <w:ind w:firstLine="360"/>
        <w:jc w:val="both"/>
        <w:rPr>
          <w:rFonts w:ascii="David" w:hAnsi="David"/>
          <w:b/>
          <w:bCs/>
          <w:rtl/>
        </w:rPr>
      </w:pPr>
      <w:r w:rsidRPr="00A16621">
        <w:rPr>
          <w:rFonts w:ascii="David" w:hAnsi="David"/>
          <w:b/>
          <w:bCs/>
          <w:rtl/>
        </w:rPr>
        <w:t>(3)הבורר פעל ללא סמכות או שחרג מהסמכויות הנתונות לו לפי הסכם הבוררות;</w:t>
      </w:r>
    </w:p>
    <w:p w:rsidR="005D4E8C" w:rsidRPr="00A16621" w:rsidRDefault="005D4E8C" w:rsidP="002931B7">
      <w:pPr>
        <w:spacing w:line="360" w:lineRule="auto"/>
        <w:ind w:firstLine="360"/>
        <w:jc w:val="both"/>
        <w:rPr>
          <w:rFonts w:ascii="David" w:hAnsi="David"/>
          <w:b/>
          <w:bCs/>
          <w:rtl/>
        </w:rPr>
      </w:pPr>
      <w:r w:rsidRPr="00A16621">
        <w:rPr>
          <w:rFonts w:ascii="David" w:hAnsi="David"/>
          <w:b/>
          <w:bCs/>
          <w:rtl/>
        </w:rPr>
        <w:t>(4)לא ניתנה לבעל-דין הזדמנות נאותה לטעון טענותיו או להביא ראיותיו;</w:t>
      </w:r>
    </w:p>
    <w:p w:rsidR="005D4E8C" w:rsidRPr="00A16621" w:rsidRDefault="005D4E8C" w:rsidP="002931B7">
      <w:pPr>
        <w:spacing w:line="360" w:lineRule="auto"/>
        <w:ind w:firstLine="360"/>
        <w:jc w:val="both"/>
        <w:rPr>
          <w:rFonts w:ascii="David" w:hAnsi="David"/>
          <w:b/>
          <w:bCs/>
          <w:rtl/>
        </w:rPr>
      </w:pPr>
      <w:r w:rsidRPr="00A16621">
        <w:rPr>
          <w:rFonts w:ascii="David" w:hAnsi="David"/>
          <w:b/>
          <w:bCs/>
          <w:rtl/>
        </w:rPr>
        <w:t>(5)הבורר לא הכריע באחד הענינים שנמסרו להכרעתו;</w:t>
      </w:r>
    </w:p>
    <w:p w:rsidR="005D4E8C" w:rsidRPr="00A16621" w:rsidRDefault="005D4E8C" w:rsidP="002931B7">
      <w:pPr>
        <w:spacing w:line="360" w:lineRule="auto"/>
        <w:ind w:firstLine="360"/>
        <w:jc w:val="both"/>
        <w:rPr>
          <w:rFonts w:ascii="David" w:hAnsi="David"/>
          <w:b/>
          <w:bCs/>
          <w:rtl/>
        </w:rPr>
      </w:pPr>
      <w:r w:rsidRPr="00A16621">
        <w:rPr>
          <w:rFonts w:ascii="David" w:hAnsi="David"/>
          <w:b/>
          <w:bCs/>
          <w:rtl/>
        </w:rPr>
        <w:t>(6)הותנה בהסכם הבוררות שעל הבורר לתת נימוקים לפסק והבורר לא עשה כן;</w:t>
      </w:r>
    </w:p>
    <w:p w:rsidR="005D4E8C" w:rsidRPr="00A16621" w:rsidRDefault="005D4E8C" w:rsidP="002931B7">
      <w:pPr>
        <w:spacing w:line="360" w:lineRule="auto"/>
        <w:ind w:firstLine="360"/>
        <w:jc w:val="both"/>
        <w:rPr>
          <w:rFonts w:ascii="David" w:hAnsi="David"/>
          <w:b/>
          <w:bCs/>
          <w:rtl/>
        </w:rPr>
      </w:pPr>
      <w:r w:rsidRPr="00A16621">
        <w:rPr>
          <w:rFonts w:ascii="David" w:hAnsi="David"/>
          <w:b/>
          <w:bCs/>
          <w:rtl/>
        </w:rPr>
        <w:t>(7)הותנה בהסכם הבוררות שעל הבורר לפסוק בהתאם לדין והבורר לא עשה כן;</w:t>
      </w:r>
    </w:p>
    <w:p w:rsidR="005D4E8C" w:rsidRPr="00A16621" w:rsidRDefault="005D4E8C" w:rsidP="002931B7">
      <w:pPr>
        <w:spacing w:line="360" w:lineRule="auto"/>
        <w:ind w:firstLine="360"/>
        <w:jc w:val="both"/>
        <w:rPr>
          <w:rFonts w:ascii="David" w:hAnsi="David"/>
          <w:b/>
          <w:bCs/>
          <w:rtl/>
        </w:rPr>
      </w:pPr>
      <w:r w:rsidRPr="00A16621">
        <w:rPr>
          <w:rFonts w:ascii="David" w:hAnsi="David"/>
          <w:b/>
          <w:bCs/>
          <w:rtl/>
        </w:rPr>
        <w:t>(8)הפסק ניתן לאחר שעברה התקופה לנתינתו;</w:t>
      </w:r>
    </w:p>
    <w:p w:rsidR="005D4E8C" w:rsidRPr="00A16621" w:rsidRDefault="005D4E8C" w:rsidP="002931B7">
      <w:pPr>
        <w:spacing w:line="360" w:lineRule="auto"/>
        <w:ind w:firstLine="360"/>
        <w:jc w:val="both"/>
        <w:rPr>
          <w:rFonts w:ascii="David" w:hAnsi="David"/>
          <w:b/>
          <w:bCs/>
          <w:rtl/>
        </w:rPr>
      </w:pPr>
      <w:r w:rsidRPr="00A16621">
        <w:rPr>
          <w:rFonts w:ascii="David" w:hAnsi="David"/>
          <w:b/>
          <w:bCs/>
          <w:rtl/>
        </w:rPr>
        <w:t>(9)תכנו של הפסק מנוגד לתקנת הציבור;</w:t>
      </w:r>
    </w:p>
    <w:p w:rsidR="005D4E8C" w:rsidRDefault="005D4E8C" w:rsidP="002931B7">
      <w:pPr>
        <w:spacing w:line="360" w:lineRule="auto"/>
        <w:ind w:firstLine="360"/>
        <w:jc w:val="both"/>
        <w:rPr>
          <w:rFonts w:ascii="David" w:hAnsi="David"/>
          <w:b/>
          <w:bCs/>
          <w:rtl/>
        </w:rPr>
      </w:pPr>
      <w:r w:rsidRPr="00A16621">
        <w:rPr>
          <w:rFonts w:ascii="David" w:hAnsi="David"/>
          <w:b/>
          <w:bCs/>
          <w:rtl/>
        </w:rPr>
        <w:t>(10)קיימת עילה שעל פיה היה בית משפט מבטל פסק דין סופי שאין עליו ערעור עוד.</w:t>
      </w:r>
    </w:p>
    <w:p w:rsidR="005D4E8C" w:rsidRPr="001662BE" w:rsidRDefault="005D4E8C" w:rsidP="002931B7">
      <w:pPr>
        <w:pStyle w:val="af"/>
        <w:spacing w:line="360" w:lineRule="auto"/>
        <w:jc w:val="both"/>
        <w:rPr>
          <w:rFonts w:ascii="David" w:hAnsi="David" w:cs="David"/>
          <w:b/>
          <w:bCs/>
          <w:sz w:val="24"/>
          <w:szCs w:val="24"/>
          <w:u w:val="single"/>
        </w:rPr>
      </w:pPr>
    </w:p>
    <w:p w:rsidR="003502C6" w:rsidRDefault="003502C6"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לפי ההלכה הפסוקה, </w:t>
      </w:r>
      <w:r w:rsidRPr="003502C6">
        <w:rPr>
          <w:rFonts w:ascii="David" w:hAnsi="David" w:cs="David"/>
          <w:sz w:val="24"/>
          <w:szCs w:val="24"/>
          <w:rtl/>
        </w:rPr>
        <w:t>התערבות שיפוטית בפסק הבורר הינה צרה ומוגבלת לעילות מוגדרות. עילות אלה מוחלות בזהירות ועל דרך פירוש דווקני כדי ליתן תוקף לפסק ולא לבטלו. בית-המשפט הבוחן את הפסק אינו דן בו כערכאת ערעור, ואין אמור לבחון אם צדק הבורר בקביעותיו או טעה בהן על-פי הדין, שהרי עילת הביטול בגין טעות על פני הפסק שוב אינה נמנית עם עילות הביטול על אחת כמה וכמה אין הוא בוחן שאלות אלה מקום שהבורר משוחרר מן הדין המהותי ואף מסדרי הדין והראיות. בית-המשפט גם אינו רשאי להעמיד את הפסק ב</w:t>
      </w:r>
      <w:r w:rsidRPr="006A35F3">
        <w:rPr>
          <w:rFonts w:ascii="David" w:hAnsi="David" w:cs="David"/>
          <w:sz w:val="24"/>
          <w:szCs w:val="24"/>
          <w:rtl/>
        </w:rPr>
        <w:t xml:space="preserve">מבחן ביקורתו הוא – אם צודק הוא או בלתי צודק בהתאם לתפיסתו שלו. </w:t>
      </w:r>
      <w:r>
        <w:rPr>
          <w:rFonts w:hint="cs"/>
          <w:rtl/>
        </w:rPr>
        <w:t>(</w:t>
      </w:r>
      <w:r w:rsidRPr="006A35F3">
        <w:rPr>
          <w:rFonts w:ascii="David" w:hAnsi="David" w:cs="David"/>
          <w:sz w:val="24"/>
          <w:szCs w:val="24"/>
          <w:rtl/>
        </w:rPr>
        <w:t>רע"א 3680/00 אהרון גמליאלי נ' מגשימים כפר שיתופי בע"מ</w:t>
      </w:r>
      <w:r w:rsidRPr="006A35F3">
        <w:rPr>
          <w:rFonts w:ascii="David" w:hAnsi="David" w:cs="David" w:hint="cs"/>
          <w:sz w:val="24"/>
          <w:szCs w:val="24"/>
          <w:rtl/>
        </w:rPr>
        <w:t>)</w:t>
      </w:r>
      <w:r w:rsidR="006A35F3">
        <w:rPr>
          <w:rFonts w:ascii="David" w:hAnsi="David" w:cs="David" w:hint="cs"/>
          <w:sz w:val="24"/>
          <w:szCs w:val="24"/>
          <w:rtl/>
        </w:rPr>
        <w:t>.</w:t>
      </w:r>
    </w:p>
    <w:p w:rsidR="006A35F3" w:rsidRPr="006A35F3" w:rsidRDefault="006A35F3" w:rsidP="002931B7">
      <w:pPr>
        <w:pStyle w:val="af"/>
        <w:spacing w:line="360" w:lineRule="auto"/>
        <w:ind w:left="360"/>
        <w:jc w:val="both"/>
        <w:rPr>
          <w:rFonts w:ascii="David" w:hAnsi="David" w:cs="David"/>
          <w:sz w:val="24"/>
          <w:szCs w:val="24"/>
        </w:rPr>
      </w:pPr>
    </w:p>
    <w:p w:rsidR="006A35F3" w:rsidRDefault="00991F93" w:rsidP="002931B7">
      <w:pPr>
        <w:pStyle w:val="af"/>
        <w:numPr>
          <w:ilvl w:val="0"/>
          <w:numId w:val="2"/>
        </w:numPr>
        <w:spacing w:line="360" w:lineRule="auto"/>
        <w:jc w:val="both"/>
        <w:rPr>
          <w:rFonts w:ascii="David" w:hAnsi="David" w:cs="David"/>
          <w:b/>
          <w:bCs/>
          <w:sz w:val="24"/>
          <w:szCs w:val="24"/>
          <w:u w:val="single"/>
        </w:rPr>
      </w:pPr>
      <w:r w:rsidRPr="00991F93">
        <w:rPr>
          <w:rFonts w:hint="cs"/>
          <w:rtl/>
        </w:rPr>
        <w:t>ב</w:t>
      </w:r>
      <w:hyperlink r:id="rId9" w:history="1">
        <w:r w:rsidR="005D4E8C" w:rsidRPr="006A35F3">
          <w:rPr>
            <w:rStyle w:val="Hyperlink"/>
            <w:rFonts w:ascii="David" w:hAnsi="David" w:cs="David"/>
            <w:color w:val="auto"/>
            <w:sz w:val="24"/>
            <w:szCs w:val="24"/>
            <w:rtl/>
          </w:rPr>
          <w:t>רע"א 1941/14 </w:t>
        </w:r>
        <w:r w:rsidR="006A35F3" w:rsidRPr="006A35F3">
          <w:rPr>
            <w:rStyle w:val="Hyperlink"/>
            <w:rFonts w:ascii="David" w:hAnsi="David" w:cs="David"/>
            <w:color w:val="auto"/>
            <w:sz w:val="24"/>
            <w:szCs w:val="24"/>
            <w:rtl/>
          </w:rPr>
          <w:t xml:space="preserve">סקורפיו </w:t>
        </w:r>
        <w:r w:rsidR="005D4E8C" w:rsidRPr="006A35F3">
          <w:rPr>
            <w:rStyle w:val="Hyperlink"/>
            <w:rFonts w:ascii="David" w:hAnsi="David" w:cs="David"/>
            <w:color w:val="auto"/>
            <w:sz w:val="24"/>
            <w:szCs w:val="24"/>
            <w:rtl/>
          </w:rPr>
          <w:t xml:space="preserve"> בע"מ נ' יוסי לנגוצקי </w:t>
        </w:r>
        <w:r w:rsidR="006A35F3">
          <w:rPr>
            <w:rStyle w:val="Hyperlink"/>
            <w:rFonts w:ascii="David" w:hAnsi="David" w:cs="David" w:hint="cs"/>
            <w:color w:val="auto"/>
            <w:sz w:val="24"/>
            <w:szCs w:val="24"/>
            <w:rtl/>
          </w:rPr>
          <w:t>,</w:t>
        </w:r>
        <w:r w:rsidR="005D4E8C" w:rsidRPr="006A35F3">
          <w:rPr>
            <w:rStyle w:val="Hyperlink"/>
            <w:rFonts w:ascii="David" w:hAnsi="David" w:cs="David"/>
            <w:color w:val="auto"/>
            <w:sz w:val="24"/>
            <w:szCs w:val="24"/>
            <w:rtl/>
          </w:rPr>
          <w:t>‏</w:t>
        </w:r>
      </w:hyperlink>
      <w:r w:rsidR="005D4E8C" w:rsidRPr="006A35F3">
        <w:rPr>
          <w:rFonts w:ascii="David" w:hAnsi="David" w:cs="David"/>
          <w:sz w:val="24"/>
          <w:szCs w:val="24"/>
          <w:u w:val="single"/>
          <w:rtl/>
        </w:rPr>
        <w:t xml:space="preserve">‏ </w:t>
      </w:r>
      <w:r w:rsidRPr="006A35F3">
        <w:rPr>
          <w:rFonts w:ascii="David" w:hAnsi="David" w:cs="David" w:hint="cs"/>
          <w:b/>
          <w:bCs/>
          <w:sz w:val="24"/>
          <w:szCs w:val="24"/>
          <w:u w:val="single"/>
          <w:rtl/>
        </w:rPr>
        <w:t xml:space="preserve"> </w:t>
      </w:r>
      <w:r w:rsidRPr="006A35F3">
        <w:rPr>
          <w:rFonts w:ascii="David" w:hAnsi="David" w:cs="David" w:hint="cs"/>
          <w:sz w:val="24"/>
          <w:szCs w:val="24"/>
          <w:u w:val="single"/>
          <w:rtl/>
        </w:rPr>
        <w:t>נקבע</w:t>
      </w:r>
      <w:r w:rsidR="005D4E8C" w:rsidRPr="006A35F3">
        <w:rPr>
          <w:rFonts w:ascii="David" w:hAnsi="David" w:cs="David" w:hint="cs"/>
          <w:sz w:val="24"/>
          <w:szCs w:val="24"/>
          <w:u w:val="single"/>
          <w:rtl/>
        </w:rPr>
        <w:t>:</w:t>
      </w:r>
    </w:p>
    <w:p w:rsidR="005D4E8C" w:rsidRDefault="005D4E8C" w:rsidP="0013508B">
      <w:pPr>
        <w:pStyle w:val="af"/>
        <w:spacing w:line="360" w:lineRule="auto"/>
        <w:ind w:left="360"/>
        <w:jc w:val="both"/>
        <w:rPr>
          <w:rFonts w:ascii="David" w:hAnsi="David"/>
          <w:color w:val="000000"/>
          <w:rtl/>
        </w:rPr>
      </w:pPr>
      <w:r w:rsidRPr="006A35F3">
        <w:rPr>
          <w:rFonts w:ascii="David" w:hAnsi="David"/>
          <w:color w:val="000000"/>
          <w:rtl/>
        </w:rPr>
        <w:t>"</w:t>
      </w:r>
      <w:r w:rsidRPr="006A35F3">
        <w:rPr>
          <w:rFonts w:ascii="David" w:hAnsi="David"/>
          <w:b/>
          <w:bCs/>
          <w:color w:val="000000"/>
          <w:rtl/>
        </w:rPr>
        <w:t xml:space="preserve">כידוע, אמת המידה להתערבות בפסק בוררות – במסגרת בקשה לביטולו המוגשת לפי סעיף 24 לחוק הבוררות – היא מחמירה. אמת מידה זו נגזרת מהשאיפה לבצר את מעמדו של מוסד </w:t>
      </w:r>
      <w:r w:rsidRPr="006A35F3">
        <w:rPr>
          <w:rFonts w:ascii="David" w:hAnsi="David"/>
          <w:b/>
          <w:bCs/>
          <w:color w:val="000000"/>
          <w:rtl/>
        </w:rPr>
        <w:lastRenderedPageBreak/>
        <w:t>הבוררות ככלי יעיל ומהיר לבירור סכסוכים מחוץ לכותלי בית המשפט, המקנה משקל ניכר להסכמת הצדדים להתדיין לפני בורר אשר עילות ההתערבות בהחלטתו תחומות ומוגבלות.</w:t>
      </w:r>
      <w:r w:rsidRPr="006A35F3">
        <w:rPr>
          <w:rFonts w:ascii="David" w:hAnsi="David"/>
          <w:color w:val="000000"/>
          <w:rtl/>
        </w:rPr>
        <w:t xml:space="preserve"> </w:t>
      </w:r>
    </w:p>
    <w:p w:rsidR="0013508B" w:rsidRPr="0013508B" w:rsidRDefault="0013508B" w:rsidP="0013508B">
      <w:pPr>
        <w:pStyle w:val="af"/>
        <w:spacing w:line="360" w:lineRule="auto"/>
        <w:ind w:left="360"/>
        <w:jc w:val="both"/>
        <w:rPr>
          <w:rFonts w:ascii="David" w:hAnsi="David" w:cs="David"/>
          <w:b/>
          <w:bCs/>
          <w:sz w:val="24"/>
          <w:szCs w:val="24"/>
          <w:u w:val="single"/>
        </w:rPr>
      </w:pPr>
    </w:p>
    <w:p w:rsidR="006A35F3" w:rsidRPr="006A35F3" w:rsidRDefault="006A35F3"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ב</w:t>
      </w:r>
      <w:r w:rsidRPr="006A35F3">
        <w:rPr>
          <w:rFonts w:ascii="David" w:hAnsi="David" w:cs="David"/>
          <w:sz w:val="24"/>
          <w:szCs w:val="24"/>
          <w:rtl/>
        </w:rPr>
        <w:t>רע"א 6327/12 עופר ניב ואח' נ' דן חברה לתחבו</w:t>
      </w:r>
      <w:r>
        <w:rPr>
          <w:rFonts w:ascii="David" w:hAnsi="David" w:cs="David"/>
          <w:sz w:val="24"/>
          <w:szCs w:val="24"/>
          <w:rtl/>
        </w:rPr>
        <w:t xml:space="preserve">רה ציבורית בע"מ </w:t>
      </w:r>
      <w:r>
        <w:rPr>
          <w:rFonts w:ascii="David" w:hAnsi="David" w:cs="David" w:hint="cs"/>
          <w:sz w:val="24"/>
          <w:szCs w:val="24"/>
          <w:rtl/>
        </w:rPr>
        <w:t>נקבע:</w:t>
      </w:r>
    </w:p>
    <w:p w:rsidR="006A35F3" w:rsidRDefault="006A35F3" w:rsidP="002931B7">
      <w:pPr>
        <w:pStyle w:val="af"/>
        <w:spacing w:line="360" w:lineRule="auto"/>
        <w:ind w:left="360"/>
        <w:jc w:val="both"/>
        <w:rPr>
          <w:rFonts w:ascii="David" w:hAnsi="David" w:cs="David"/>
          <w:b/>
          <w:bCs/>
          <w:sz w:val="24"/>
          <w:szCs w:val="24"/>
          <w:rtl/>
        </w:rPr>
      </w:pPr>
      <w:r w:rsidRPr="006A35F3">
        <w:rPr>
          <w:rFonts w:ascii="David" w:hAnsi="David" w:cs="David"/>
          <w:b/>
          <w:bCs/>
          <w:sz w:val="24"/>
          <w:szCs w:val="24"/>
          <w:rtl/>
        </w:rPr>
        <w:t>"  סעיף 24 לחוק קובע רשימה של עילות שבגינן רשאי בית המשפט לבטל פסק בוררות לבקשת בעל דין. העילות השונות בגינן ניתן לבקש את ביטולו של פסק בוררות פורשו בצמצום על ידי בית משפט זה, וזאת כדי להגשים את הכלל לפיו אין בית המשפט יושב כערכאת ערעור על פסק הבוררות .... לכך, מצטרף סעיף 26(א) לחוק הקובע כי גם אם מתקיימת אחת מעילות הביטול המנויות בסעיף 24 לחוק רשאי בית המשפט שלא לבטל את פסק הבוררות במידה ולא נגרם "עיוות דין" ..".</w:t>
      </w:r>
    </w:p>
    <w:p w:rsidR="006A35F3" w:rsidRPr="006A35F3" w:rsidRDefault="006A35F3" w:rsidP="002931B7">
      <w:pPr>
        <w:pStyle w:val="af"/>
        <w:spacing w:line="360" w:lineRule="auto"/>
        <w:ind w:left="360"/>
        <w:jc w:val="both"/>
        <w:rPr>
          <w:rFonts w:ascii="David" w:hAnsi="David" w:cs="David"/>
          <w:b/>
          <w:bCs/>
          <w:sz w:val="24"/>
          <w:szCs w:val="24"/>
        </w:rPr>
      </w:pPr>
    </w:p>
    <w:p w:rsidR="006A35F3" w:rsidRPr="006A35F3" w:rsidRDefault="002D54DA" w:rsidP="002931B7">
      <w:pPr>
        <w:pStyle w:val="af"/>
        <w:numPr>
          <w:ilvl w:val="0"/>
          <w:numId w:val="2"/>
        </w:numPr>
        <w:spacing w:line="360" w:lineRule="auto"/>
        <w:jc w:val="both"/>
        <w:rPr>
          <w:rFonts w:ascii="David" w:hAnsi="David" w:cs="David"/>
          <w:sz w:val="24"/>
          <w:szCs w:val="24"/>
        </w:rPr>
      </w:pPr>
      <w:r w:rsidRPr="006A35F3">
        <w:rPr>
          <w:rFonts w:ascii="David" w:hAnsi="David" w:cs="David"/>
          <w:sz w:val="24"/>
          <w:szCs w:val="24"/>
          <w:rtl/>
        </w:rPr>
        <w:t>ב</w:t>
      </w:r>
      <w:r w:rsidR="005D4E8C" w:rsidRPr="006A35F3">
        <w:rPr>
          <w:rFonts w:ascii="David" w:hAnsi="David" w:cs="David"/>
          <w:sz w:val="24"/>
          <w:szCs w:val="24"/>
          <w:rtl/>
        </w:rPr>
        <w:t>רע"א 5229/18 דניאל אבידור נ' טל לביא</w:t>
      </w:r>
      <w:r w:rsidRPr="006A35F3">
        <w:rPr>
          <w:rFonts w:ascii="David" w:hAnsi="David" w:cs="David"/>
          <w:sz w:val="24"/>
          <w:szCs w:val="24"/>
          <w:rtl/>
        </w:rPr>
        <w:t> </w:t>
      </w:r>
      <w:r w:rsidR="005D4E8C" w:rsidRPr="006A35F3">
        <w:rPr>
          <w:rFonts w:ascii="David" w:hAnsi="David" w:cs="David"/>
          <w:sz w:val="24"/>
          <w:szCs w:val="24"/>
          <w:rtl/>
        </w:rPr>
        <w:t>, נ</w:t>
      </w:r>
      <w:r w:rsidR="005D4E8C" w:rsidRPr="006A35F3">
        <w:rPr>
          <w:rFonts w:ascii="David" w:hAnsi="David" w:cs="David"/>
          <w:color w:val="000000"/>
          <w:sz w:val="24"/>
          <w:szCs w:val="24"/>
          <w:rtl/>
        </w:rPr>
        <w:t>קבע:</w:t>
      </w:r>
    </w:p>
    <w:p w:rsidR="005D4E8C" w:rsidRPr="006A35F3" w:rsidRDefault="005D4E8C" w:rsidP="002931B7">
      <w:pPr>
        <w:pStyle w:val="af"/>
        <w:spacing w:line="360" w:lineRule="auto"/>
        <w:ind w:left="360"/>
        <w:jc w:val="both"/>
        <w:rPr>
          <w:rFonts w:ascii="David" w:hAnsi="David" w:cs="David"/>
          <w:sz w:val="24"/>
          <w:szCs w:val="24"/>
        </w:rPr>
      </w:pPr>
      <w:r w:rsidRPr="006A35F3">
        <w:rPr>
          <w:rFonts w:ascii="David" w:hAnsi="David"/>
          <w:color w:val="000000"/>
          <w:rtl/>
        </w:rPr>
        <w:t>"</w:t>
      </w:r>
      <w:r w:rsidRPr="006A35F3">
        <w:rPr>
          <w:rFonts w:ascii="David" w:hAnsi="David"/>
          <w:b/>
          <w:bCs/>
          <w:color w:val="000000"/>
          <w:rtl/>
        </w:rPr>
        <w:t xml:space="preserve">כידוע, עילות הביטול המנויות בסעיף 24 לחוק הבוררות אינן עילות ערעוריות, אלא מכוונות את עצמן בעיקר לטענות הקשורות לתקינות הליך הבוררות, ולא ניתן להעלות במסגרת בקשה לביטול פסק בוררות טענות ביחס לטעויות שנפלו בתוכן הכרעת הבורר </w:t>
      </w:r>
      <w:r w:rsidR="006A35F3">
        <w:rPr>
          <w:rFonts w:ascii="David" w:hAnsi="David" w:hint="cs"/>
          <w:b/>
          <w:bCs/>
          <w:color w:val="000000"/>
          <w:rtl/>
        </w:rPr>
        <w:t>.."</w:t>
      </w:r>
    </w:p>
    <w:p w:rsidR="005D4E8C" w:rsidRPr="006A35F3" w:rsidRDefault="00DD6F3F" w:rsidP="002931B7">
      <w:pPr>
        <w:spacing w:line="360" w:lineRule="auto"/>
        <w:ind w:firstLine="360"/>
        <w:jc w:val="both"/>
        <w:rPr>
          <w:rFonts w:ascii="David" w:hAnsi="David"/>
          <w:rtl/>
        </w:rPr>
      </w:pPr>
      <w:r w:rsidRPr="00DD6F3F">
        <w:rPr>
          <w:rFonts w:ascii="David" w:eastAsiaTheme="minorHAnsi" w:hAnsi="David" w:hint="cs"/>
          <w:noProof w:val="0"/>
          <w:rtl/>
        </w:rPr>
        <w:t>(ראה גם</w:t>
      </w:r>
      <w:r w:rsidRPr="00DD6F3F">
        <w:rPr>
          <w:rFonts w:ascii="David" w:eastAsiaTheme="minorHAnsi" w:hAnsi="David" w:hint="cs"/>
          <w:noProof w:val="0"/>
          <w:u w:val="single"/>
          <w:rtl/>
        </w:rPr>
        <w:t xml:space="preserve"> </w:t>
      </w:r>
      <w:r w:rsidR="005D4E8C" w:rsidRPr="00DD6F3F">
        <w:rPr>
          <w:rFonts w:ascii="David" w:hAnsi="David"/>
          <w:rtl/>
        </w:rPr>
        <w:t>רע"א 9077/12 ריאד אספניולי נ' בן עזריה בע"מ</w:t>
      </w:r>
      <w:r>
        <w:rPr>
          <w:rFonts w:ascii="David" w:hAnsi="David"/>
          <w:rtl/>
        </w:rPr>
        <w:t> </w:t>
      </w:r>
      <w:r>
        <w:rPr>
          <w:rFonts w:ascii="David" w:hAnsi="David" w:hint="cs"/>
          <w:rtl/>
        </w:rPr>
        <w:t>)</w:t>
      </w:r>
      <w:r w:rsidR="006A35F3">
        <w:rPr>
          <w:rFonts w:ascii="David" w:hAnsi="David" w:hint="cs"/>
          <w:rtl/>
        </w:rPr>
        <w:t>.</w:t>
      </w:r>
    </w:p>
    <w:p w:rsidR="006A35F3" w:rsidRPr="006A35F3" w:rsidRDefault="00DD6F3F" w:rsidP="002931B7">
      <w:pPr>
        <w:spacing w:line="360" w:lineRule="auto"/>
        <w:jc w:val="both"/>
        <w:rPr>
          <w:rFonts w:ascii="David" w:hAnsi="David"/>
          <w:b/>
          <w:bCs/>
          <w:u w:val="single"/>
          <w:rtl/>
        </w:rPr>
      </w:pPr>
      <w:r>
        <w:t xml:space="preserve"> </w:t>
      </w:r>
    </w:p>
    <w:p w:rsidR="005D4E8C" w:rsidRPr="0013508B" w:rsidRDefault="006A35F3" w:rsidP="0013508B">
      <w:pPr>
        <w:spacing w:line="360" w:lineRule="auto"/>
        <w:jc w:val="both"/>
        <w:rPr>
          <w:rFonts w:ascii="David" w:hAnsi="David"/>
          <w:b/>
          <w:bCs/>
          <w:sz w:val="28"/>
          <w:szCs w:val="28"/>
          <w:u w:val="single"/>
        </w:rPr>
      </w:pPr>
      <w:r>
        <w:rPr>
          <w:rFonts w:ascii="David" w:hAnsi="David" w:hint="cs"/>
          <w:b/>
          <w:bCs/>
          <w:sz w:val="28"/>
          <w:szCs w:val="28"/>
          <w:u w:val="single"/>
          <w:rtl/>
        </w:rPr>
        <w:t>דיון והכרעה</w:t>
      </w:r>
    </w:p>
    <w:p w:rsidR="00BD0441" w:rsidRPr="00BF3D5D" w:rsidRDefault="00BD0441" w:rsidP="002931B7">
      <w:pPr>
        <w:pStyle w:val="af"/>
        <w:numPr>
          <w:ilvl w:val="0"/>
          <w:numId w:val="2"/>
        </w:numPr>
        <w:spacing w:line="360" w:lineRule="auto"/>
        <w:jc w:val="both"/>
        <w:rPr>
          <w:rFonts w:ascii="David" w:hAnsi="David" w:cs="David"/>
          <w:sz w:val="24"/>
          <w:szCs w:val="24"/>
          <w:rtl/>
        </w:rPr>
      </w:pPr>
      <w:r w:rsidRPr="00BD0441">
        <w:rPr>
          <w:rFonts w:ascii="David" w:hAnsi="David" w:cs="David"/>
          <w:sz w:val="24"/>
          <w:szCs w:val="24"/>
          <w:rtl/>
        </w:rPr>
        <w:t>התובעים עותרים ל</w:t>
      </w:r>
      <w:r>
        <w:rPr>
          <w:rFonts w:ascii="David" w:hAnsi="David" w:cs="David"/>
          <w:sz w:val="24"/>
          <w:szCs w:val="24"/>
          <w:rtl/>
        </w:rPr>
        <w:t>הורות על ביטול פסק הבוררות מהט</w:t>
      </w:r>
      <w:r w:rsidR="00431D36">
        <w:rPr>
          <w:rFonts w:ascii="David" w:hAnsi="David" w:cs="David"/>
          <w:sz w:val="24"/>
          <w:szCs w:val="24"/>
          <w:rtl/>
        </w:rPr>
        <w:t xml:space="preserve">עמים </w:t>
      </w:r>
      <w:r w:rsidR="00431D36">
        <w:rPr>
          <w:rFonts w:ascii="David" w:hAnsi="David" w:cs="David" w:hint="cs"/>
          <w:sz w:val="24"/>
          <w:szCs w:val="24"/>
          <w:rtl/>
        </w:rPr>
        <w:t>שיפורטו להלן.</w:t>
      </w:r>
    </w:p>
    <w:p w:rsidR="00BD0441" w:rsidRPr="00BD0441" w:rsidRDefault="00BD0441" w:rsidP="002931B7">
      <w:pPr>
        <w:spacing w:line="360" w:lineRule="auto"/>
        <w:jc w:val="both"/>
        <w:rPr>
          <w:rFonts w:ascii="David" w:hAnsi="David"/>
        </w:rPr>
      </w:pPr>
      <w:r w:rsidRPr="00BD0441">
        <w:rPr>
          <w:rFonts w:ascii="David" w:hAnsi="David"/>
          <w:u w:val="single"/>
          <w:rtl/>
        </w:rPr>
        <w:t xml:space="preserve">חריגה מסמכות-קביעת הנכס כנכס תפוס במסגרת </w:t>
      </w:r>
      <w:r w:rsidR="00BF3D5D">
        <w:rPr>
          <w:rFonts w:ascii="David" w:hAnsi="David" w:hint="cs"/>
          <w:u w:val="single"/>
          <w:rtl/>
        </w:rPr>
        <w:t>ה</w:t>
      </w:r>
      <w:r w:rsidRPr="00BD0441">
        <w:rPr>
          <w:rFonts w:ascii="David" w:hAnsi="David"/>
          <w:u w:val="single"/>
          <w:rtl/>
        </w:rPr>
        <w:t>תביעה לפירוק שיתוף-סעיף24(3) לחוק</w:t>
      </w:r>
      <w:r w:rsidR="00BF3D5D">
        <w:rPr>
          <w:rFonts w:ascii="David" w:hAnsi="David" w:hint="cs"/>
          <w:rtl/>
        </w:rPr>
        <w:t>-</w:t>
      </w:r>
    </w:p>
    <w:p w:rsidR="005D4E8C" w:rsidRDefault="00BF3D5D"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לשיטת התובעים, כב' הבוררת קבעה</w:t>
      </w:r>
      <w:r w:rsidR="005D4E8C" w:rsidRPr="00BD0441">
        <w:rPr>
          <w:rFonts w:ascii="David" w:hAnsi="David" w:cs="David" w:hint="cs"/>
          <w:sz w:val="24"/>
          <w:szCs w:val="24"/>
          <w:rtl/>
        </w:rPr>
        <w:t xml:space="preserve"> כי</w:t>
      </w:r>
      <w:r>
        <w:rPr>
          <w:rFonts w:ascii="David" w:hAnsi="David" w:cs="David" w:hint="cs"/>
          <w:sz w:val="24"/>
          <w:szCs w:val="24"/>
          <w:rtl/>
        </w:rPr>
        <w:t>,</w:t>
      </w:r>
      <w:r w:rsidR="005D4E8C" w:rsidRPr="00BD0441">
        <w:rPr>
          <w:rFonts w:ascii="David" w:hAnsi="David" w:cs="David" w:hint="cs"/>
          <w:sz w:val="24"/>
          <w:szCs w:val="24"/>
          <w:rtl/>
        </w:rPr>
        <w:t xml:space="preserve"> הנכס הא נכס תפוס כמשמעו בחוק הגנת הדייר</w:t>
      </w:r>
      <w:r w:rsidR="00E85496">
        <w:rPr>
          <w:rFonts w:ascii="David" w:hAnsi="David" w:cs="David" w:hint="cs"/>
          <w:sz w:val="24"/>
          <w:szCs w:val="24"/>
          <w:rtl/>
        </w:rPr>
        <w:t>,</w:t>
      </w:r>
      <w:r>
        <w:rPr>
          <w:rFonts w:ascii="David" w:hAnsi="David" w:cs="David" w:hint="cs"/>
          <w:sz w:val="24"/>
          <w:szCs w:val="24"/>
          <w:rtl/>
        </w:rPr>
        <w:t xml:space="preserve"> </w:t>
      </w:r>
      <w:r w:rsidR="005D4E8C" w:rsidRPr="00BD0441">
        <w:rPr>
          <w:rFonts w:ascii="David" w:hAnsi="David" w:cs="David" w:hint="cs"/>
          <w:sz w:val="24"/>
          <w:szCs w:val="24"/>
          <w:rtl/>
        </w:rPr>
        <w:t>כחלק מהערכת שווי הנכס ושערוכו לטובת פירוק</w:t>
      </w:r>
      <w:r>
        <w:rPr>
          <w:rFonts w:ascii="David" w:hAnsi="David" w:cs="David" w:hint="cs"/>
          <w:sz w:val="24"/>
          <w:szCs w:val="24"/>
          <w:rtl/>
        </w:rPr>
        <w:t xml:space="preserve"> השיתוף בנכס. </w:t>
      </w:r>
      <w:r w:rsidR="005D4E8C" w:rsidRPr="00BD0441">
        <w:rPr>
          <w:rFonts w:ascii="David" w:hAnsi="David" w:cs="David" w:hint="cs"/>
          <w:sz w:val="24"/>
          <w:szCs w:val="24"/>
          <w:rtl/>
        </w:rPr>
        <w:t>הבוררת חרגה מסמכותה והכריעה בתביעה לפירוק שיתוף על סמך טענת נכס תפוס, טענה שלא נטענה כלל בפנ</w:t>
      </w:r>
      <w:r>
        <w:rPr>
          <w:rFonts w:ascii="David" w:hAnsi="David" w:cs="David" w:hint="cs"/>
          <w:sz w:val="24"/>
          <w:szCs w:val="24"/>
          <w:rtl/>
        </w:rPr>
        <w:t>יה בכתב ההגנה</w:t>
      </w:r>
      <w:r w:rsidR="005D4E8C" w:rsidRPr="00BD0441">
        <w:rPr>
          <w:rFonts w:ascii="David" w:hAnsi="David" w:cs="David" w:hint="cs"/>
          <w:sz w:val="24"/>
          <w:szCs w:val="24"/>
          <w:rtl/>
        </w:rPr>
        <w:t xml:space="preserve"> מטעם הנתבעים לענ</w:t>
      </w:r>
      <w:r w:rsidR="00E85496">
        <w:rPr>
          <w:rFonts w:ascii="David" w:hAnsi="David" w:cs="David" w:hint="cs"/>
          <w:sz w:val="24"/>
          <w:szCs w:val="24"/>
          <w:rtl/>
        </w:rPr>
        <w:t>י</w:t>
      </w:r>
      <w:r w:rsidR="005D4E8C" w:rsidRPr="00BD0441">
        <w:rPr>
          <w:rFonts w:ascii="David" w:hAnsi="David" w:cs="David" w:hint="cs"/>
          <w:sz w:val="24"/>
          <w:szCs w:val="24"/>
          <w:rtl/>
        </w:rPr>
        <w:t>ין פירוק שיתוף. הטענה שהנכס תפוס נטענה ע"י הנתבעים בכתב הגנתם אך רק ביחס</w:t>
      </w:r>
      <w:r>
        <w:rPr>
          <w:rFonts w:ascii="David" w:hAnsi="David" w:cs="David" w:hint="cs"/>
          <w:sz w:val="24"/>
          <w:szCs w:val="24"/>
          <w:rtl/>
        </w:rPr>
        <w:t xml:space="preserve"> לתביעה לדמי שימוש ראויים בלבד. התובעים</w:t>
      </w:r>
      <w:r w:rsidR="005D4E8C" w:rsidRPr="00BD0441">
        <w:rPr>
          <w:rFonts w:ascii="David" w:hAnsi="David" w:cs="David" w:hint="cs"/>
          <w:sz w:val="24"/>
          <w:szCs w:val="24"/>
          <w:rtl/>
        </w:rPr>
        <w:t xml:space="preserve"> הפנו את הבוררת בסעיך54 לסיכומי תשובה מטעמם, לכך שמדובר בהרחבת חזית, זאת בהמשך להתנגדותם לכל אורך ההליך להכרזה על הנכס כתפוס. מכאן, בקשו התובעים לבטל את פסק הבוררות או למצער לקבוע כי לא ניתן להכריז על הנכס תפוס לענ</w:t>
      </w:r>
      <w:r w:rsidR="00E85496">
        <w:rPr>
          <w:rFonts w:ascii="David" w:hAnsi="David" w:cs="David" w:hint="cs"/>
          <w:sz w:val="24"/>
          <w:szCs w:val="24"/>
          <w:rtl/>
        </w:rPr>
        <w:t>י</w:t>
      </w:r>
      <w:r w:rsidR="005D4E8C" w:rsidRPr="00BD0441">
        <w:rPr>
          <w:rFonts w:ascii="David" w:hAnsi="David" w:cs="David" w:hint="cs"/>
          <w:sz w:val="24"/>
          <w:szCs w:val="24"/>
          <w:rtl/>
        </w:rPr>
        <w:t xml:space="preserve">ין התביעה </w:t>
      </w:r>
      <w:r w:rsidR="00BD0441">
        <w:rPr>
          <w:rFonts w:ascii="David" w:hAnsi="David" w:cs="David" w:hint="cs"/>
          <w:sz w:val="24"/>
          <w:szCs w:val="24"/>
          <w:rtl/>
        </w:rPr>
        <w:t xml:space="preserve">לפירוק שיתוף וקביעת שווי הנכס. </w:t>
      </w:r>
    </w:p>
    <w:p w:rsidR="00E85496" w:rsidRPr="00BD0441" w:rsidRDefault="00E85496" w:rsidP="002931B7">
      <w:pPr>
        <w:pStyle w:val="af"/>
        <w:spacing w:line="360" w:lineRule="auto"/>
        <w:ind w:left="360"/>
        <w:jc w:val="both"/>
        <w:rPr>
          <w:rFonts w:ascii="David" w:hAnsi="David" w:cs="David"/>
          <w:sz w:val="24"/>
          <w:szCs w:val="24"/>
        </w:rPr>
      </w:pPr>
    </w:p>
    <w:p w:rsidR="005D4E8C" w:rsidRDefault="00E85496"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לשיטת הנתבעים, אין חריגה מ</w:t>
      </w:r>
      <w:r w:rsidR="005D4E8C" w:rsidRPr="006A3A60">
        <w:rPr>
          <w:rFonts w:ascii="David" w:hAnsi="David" w:cs="David" w:hint="cs"/>
          <w:sz w:val="24"/>
          <w:szCs w:val="24"/>
          <w:rtl/>
        </w:rPr>
        <w:t>סמכות בעני</w:t>
      </w:r>
      <w:r>
        <w:rPr>
          <w:rFonts w:ascii="David" w:hAnsi="David" w:cs="David" w:hint="cs"/>
          <w:sz w:val="24"/>
          <w:szCs w:val="24"/>
          <w:rtl/>
        </w:rPr>
        <w:t>י</w:t>
      </w:r>
      <w:r w:rsidR="005D0332">
        <w:rPr>
          <w:rFonts w:ascii="David" w:hAnsi="David" w:cs="David" w:hint="cs"/>
          <w:sz w:val="24"/>
          <w:szCs w:val="24"/>
          <w:rtl/>
        </w:rPr>
        <w:t xml:space="preserve">ן זה, </w:t>
      </w:r>
      <w:r w:rsidR="005D4E8C" w:rsidRPr="006A3A60">
        <w:rPr>
          <w:rFonts w:ascii="David" w:hAnsi="David" w:cs="David" w:hint="cs"/>
          <w:sz w:val="24"/>
          <w:szCs w:val="24"/>
          <w:rtl/>
        </w:rPr>
        <w:t xml:space="preserve"> מדובר בהכרעה מובהקת ע"פ הסמכות שני</w:t>
      </w:r>
      <w:r>
        <w:rPr>
          <w:rFonts w:ascii="David" w:hAnsi="David" w:cs="David" w:hint="cs"/>
          <w:sz w:val="24"/>
          <w:szCs w:val="24"/>
          <w:rtl/>
        </w:rPr>
        <w:t>ת</w:t>
      </w:r>
      <w:r w:rsidR="005D4E8C" w:rsidRPr="006A3A60">
        <w:rPr>
          <w:rFonts w:ascii="David" w:hAnsi="David" w:cs="David" w:hint="cs"/>
          <w:sz w:val="24"/>
          <w:szCs w:val="24"/>
          <w:rtl/>
        </w:rPr>
        <w:t xml:space="preserve">נה לבוררת </w:t>
      </w:r>
      <w:r w:rsidR="005D0332">
        <w:rPr>
          <w:rFonts w:ascii="David" w:hAnsi="David" w:cs="David" w:hint="cs"/>
          <w:sz w:val="24"/>
          <w:szCs w:val="24"/>
          <w:rtl/>
        </w:rPr>
        <w:t>,מדובר בעניין הכרוך ל</w:t>
      </w:r>
      <w:r w:rsidR="005D4E8C" w:rsidRPr="006A3A60">
        <w:rPr>
          <w:rFonts w:ascii="David" w:hAnsi="David" w:cs="David" w:hint="cs"/>
          <w:sz w:val="24"/>
          <w:szCs w:val="24"/>
          <w:rtl/>
        </w:rPr>
        <w:t>סוגית פירוק השיתוף, מדובר בפל</w:t>
      </w:r>
      <w:r w:rsidR="005D0332">
        <w:rPr>
          <w:rFonts w:ascii="David" w:hAnsi="David" w:cs="David" w:hint="cs"/>
          <w:sz w:val="24"/>
          <w:szCs w:val="24"/>
          <w:rtl/>
        </w:rPr>
        <w:t>ו</w:t>
      </w:r>
      <w:r w:rsidR="005D4E8C" w:rsidRPr="006A3A60">
        <w:rPr>
          <w:rFonts w:ascii="David" w:hAnsi="David" w:cs="David" w:hint="cs"/>
          <w:sz w:val="24"/>
          <w:szCs w:val="24"/>
          <w:rtl/>
        </w:rPr>
        <w:t xml:space="preserve">גתא מרכזית שעלתה לכל אורך הבוררות </w:t>
      </w:r>
      <w:r>
        <w:rPr>
          <w:rFonts w:ascii="David" w:hAnsi="David" w:cs="David" w:hint="cs"/>
          <w:sz w:val="24"/>
          <w:szCs w:val="24"/>
          <w:rtl/>
        </w:rPr>
        <w:t>.</w:t>
      </w:r>
    </w:p>
    <w:p w:rsidR="00C65FA5" w:rsidRPr="00C65FA5" w:rsidRDefault="00C65FA5" w:rsidP="002931B7">
      <w:pPr>
        <w:pStyle w:val="af"/>
        <w:spacing w:line="360" w:lineRule="auto"/>
        <w:ind w:left="360"/>
        <w:jc w:val="both"/>
        <w:rPr>
          <w:rFonts w:ascii="David" w:hAnsi="David" w:cs="David"/>
          <w:sz w:val="24"/>
          <w:szCs w:val="24"/>
        </w:rPr>
      </w:pPr>
    </w:p>
    <w:p w:rsidR="0066074D" w:rsidRDefault="005D4E8C" w:rsidP="002931B7">
      <w:pPr>
        <w:pStyle w:val="af"/>
        <w:numPr>
          <w:ilvl w:val="0"/>
          <w:numId w:val="2"/>
        </w:numPr>
        <w:spacing w:line="360" w:lineRule="auto"/>
        <w:jc w:val="both"/>
        <w:rPr>
          <w:rFonts w:ascii="David" w:hAnsi="David" w:cs="David"/>
          <w:sz w:val="24"/>
          <w:szCs w:val="24"/>
        </w:rPr>
      </w:pPr>
      <w:r w:rsidRPr="0066074D">
        <w:rPr>
          <w:rFonts w:ascii="David" w:hAnsi="David" w:cs="David" w:hint="cs"/>
          <w:sz w:val="24"/>
          <w:szCs w:val="24"/>
          <w:rtl/>
        </w:rPr>
        <w:lastRenderedPageBreak/>
        <w:t>לאחר שבחנתי את טענות וראיות הצדדים</w:t>
      </w:r>
      <w:r w:rsidR="00D02678" w:rsidRPr="0066074D">
        <w:rPr>
          <w:rFonts w:ascii="David" w:hAnsi="David" w:cs="David" w:hint="cs"/>
          <w:sz w:val="24"/>
          <w:szCs w:val="24"/>
          <w:rtl/>
        </w:rPr>
        <w:t xml:space="preserve">, </w:t>
      </w:r>
      <w:r w:rsidR="0066074D" w:rsidRPr="0066074D">
        <w:rPr>
          <w:rFonts w:ascii="David" w:hAnsi="David" w:cs="David" w:hint="cs"/>
          <w:sz w:val="24"/>
          <w:szCs w:val="24"/>
          <w:rtl/>
        </w:rPr>
        <w:t xml:space="preserve">אני קובעת כי </w:t>
      </w:r>
      <w:r w:rsidR="0066074D" w:rsidRPr="0066074D">
        <w:rPr>
          <w:rtl/>
        </w:rPr>
        <w:t xml:space="preserve"> </w:t>
      </w:r>
      <w:r w:rsidR="0066074D" w:rsidRPr="0066074D">
        <w:rPr>
          <w:rFonts w:ascii="David" w:hAnsi="David" w:cs="David"/>
          <w:sz w:val="24"/>
          <w:szCs w:val="24"/>
          <w:rtl/>
        </w:rPr>
        <w:t>לא הייתה כאן חריגה מסמכות מציד</w:t>
      </w:r>
      <w:r w:rsidR="0066074D" w:rsidRPr="0066074D">
        <w:rPr>
          <w:rFonts w:ascii="David" w:hAnsi="David" w:cs="David" w:hint="cs"/>
          <w:sz w:val="24"/>
          <w:szCs w:val="24"/>
          <w:rtl/>
        </w:rPr>
        <w:t>ה</w:t>
      </w:r>
      <w:r w:rsidR="0066074D" w:rsidRPr="0066074D">
        <w:rPr>
          <w:rFonts w:ascii="David" w:hAnsi="David" w:cs="David"/>
          <w:sz w:val="24"/>
          <w:szCs w:val="24"/>
          <w:rtl/>
        </w:rPr>
        <w:t xml:space="preserve"> של הבורר</w:t>
      </w:r>
      <w:r w:rsidR="0066074D" w:rsidRPr="0066074D">
        <w:rPr>
          <w:rFonts w:ascii="David" w:hAnsi="David" w:cs="David" w:hint="cs"/>
          <w:sz w:val="24"/>
          <w:szCs w:val="24"/>
          <w:rtl/>
        </w:rPr>
        <w:t>ת</w:t>
      </w:r>
      <w:r w:rsidR="0066074D">
        <w:rPr>
          <w:rFonts w:ascii="David" w:hAnsi="David" w:cs="David" w:hint="cs"/>
          <w:sz w:val="24"/>
          <w:szCs w:val="24"/>
          <w:rtl/>
        </w:rPr>
        <w:t xml:space="preserve"> בקביעה כי יש לשום את הנכס כנכס תפוס</w:t>
      </w:r>
      <w:r w:rsidR="00A96BB2">
        <w:rPr>
          <w:rFonts w:ascii="David" w:hAnsi="David" w:cs="David" w:hint="cs"/>
          <w:sz w:val="24"/>
          <w:szCs w:val="24"/>
          <w:rtl/>
        </w:rPr>
        <w:t>.</w:t>
      </w:r>
      <w:r w:rsidR="0066074D">
        <w:rPr>
          <w:rFonts w:ascii="David" w:hAnsi="David" w:cs="David"/>
          <w:sz w:val="24"/>
          <w:szCs w:val="24"/>
          <w:rtl/>
        </w:rPr>
        <w:t xml:space="preserve"> </w:t>
      </w:r>
    </w:p>
    <w:p w:rsidR="00A96BB2" w:rsidRDefault="00A96BB2" w:rsidP="002931B7">
      <w:pPr>
        <w:pStyle w:val="af"/>
        <w:spacing w:line="360" w:lineRule="auto"/>
        <w:ind w:left="360"/>
        <w:jc w:val="both"/>
        <w:rPr>
          <w:rFonts w:ascii="David" w:hAnsi="David" w:cs="David"/>
          <w:sz w:val="24"/>
          <w:szCs w:val="24"/>
        </w:rPr>
      </w:pPr>
    </w:p>
    <w:p w:rsidR="007B5559" w:rsidRDefault="007B5559"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לפי ההלכה הפסוקה</w:t>
      </w:r>
      <w:r w:rsidR="00A96BB2">
        <w:rPr>
          <w:rFonts w:ascii="David" w:hAnsi="David" w:cs="David" w:hint="cs"/>
          <w:sz w:val="24"/>
          <w:szCs w:val="24"/>
          <w:rtl/>
        </w:rPr>
        <w:t>,</w:t>
      </w:r>
      <w:r>
        <w:rPr>
          <w:rFonts w:ascii="David" w:hAnsi="David" w:cs="David" w:hint="cs"/>
          <w:sz w:val="24"/>
          <w:szCs w:val="24"/>
          <w:rtl/>
        </w:rPr>
        <w:t xml:space="preserve"> </w:t>
      </w:r>
      <w:r w:rsidRPr="007B5559">
        <w:rPr>
          <w:rFonts w:ascii="David" w:hAnsi="David" w:cs="David"/>
          <w:sz w:val="24"/>
          <w:szCs w:val="24"/>
          <w:rtl/>
        </w:rPr>
        <w:t xml:space="preserve">ככלל, השימוש בעילת הביטול הקבועה בסעיף 24(3) לחוק הבוררות נעשה בצמצום רב. כך, במקרים שבהם קיימת אי-בהירות באשר לנושא המחלוקת, בית המשפט ייטה להעניק </w:t>
      </w:r>
      <w:r>
        <w:rPr>
          <w:rFonts w:ascii="David" w:hAnsi="David" w:cs="David"/>
          <w:sz w:val="24"/>
          <w:szCs w:val="24"/>
          <w:rtl/>
        </w:rPr>
        <w:t>פרשנות מרחיבה להסכם הבוררות</w:t>
      </w:r>
      <w:r w:rsidR="00BF3D5D">
        <w:rPr>
          <w:rFonts w:ascii="David" w:hAnsi="David" w:cs="David" w:hint="cs"/>
          <w:sz w:val="24"/>
          <w:szCs w:val="24"/>
          <w:rtl/>
        </w:rPr>
        <w:t xml:space="preserve"> ופרשנות</w:t>
      </w:r>
      <w:r w:rsidR="00A96BB2">
        <w:rPr>
          <w:rFonts w:ascii="David" w:hAnsi="David" w:cs="David" w:hint="cs"/>
          <w:sz w:val="24"/>
          <w:szCs w:val="24"/>
          <w:rtl/>
        </w:rPr>
        <w:t xml:space="preserve"> מצמצת לסעיף 24(3)</w:t>
      </w:r>
      <w:r>
        <w:rPr>
          <w:rFonts w:ascii="David" w:hAnsi="David" w:cs="David"/>
          <w:sz w:val="24"/>
          <w:szCs w:val="24"/>
          <w:rtl/>
        </w:rPr>
        <w:t xml:space="preserve"> .</w:t>
      </w:r>
      <w:r w:rsidRPr="007B5559">
        <w:rPr>
          <w:rtl/>
        </w:rPr>
        <w:t xml:space="preserve"> </w:t>
      </w:r>
      <w:r>
        <w:rPr>
          <w:rFonts w:ascii="David" w:hAnsi="David" w:cs="David" w:hint="cs"/>
          <w:sz w:val="24"/>
          <w:szCs w:val="24"/>
          <w:rtl/>
        </w:rPr>
        <w:t>(</w:t>
      </w:r>
      <w:r w:rsidRPr="007B5559">
        <w:rPr>
          <w:rFonts w:ascii="David" w:hAnsi="David" w:cs="David"/>
          <w:sz w:val="24"/>
          <w:szCs w:val="24"/>
          <w:rtl/>
        </w:rPr>
        <w:t xml:space="preserve">רע"א 2638/18 חברה פלונית נ' שותפות פלונית ואח' </w:t>
      </w:r>
      <w:r>
        <w:rPr>
          <w:rFonts w:ascii="David" w:hAnsi="David" w:cs="David"/>
          <w:sz w:val="24"/>
          <w:szCs w:val="24"/>
          <w:rtl/>
        </w:rPr>
        <w:t>06.05.2018)‏‏</w:t>
      </w:r>
      <w:r>
        <w:rPr>
          <w:rFonts w:ascii="David" w:hAnsi="David" w:cs="David" w:hint="cs"/>
          <w:sz w:val="24"/>
          <w:szCs w:val="24"/>
          <w:rtl/>
        </w:rPr>
        <w:t>.</w:t>
      </w:r>
    </w:p>
    <w:p w:rsidR="0013441D" w:rsidRDefault="00A96BB2" w:rsidP="002931B7">
      <w:pPr>
        <w:pStyle w:val="af"/>
        <w:spacing w:line="360" w:lineRule="auto"/>
        <w:ind w:left="360"/>
        <w:jc w:val="both"/>
        <w:rPr>
          <w:rFonts w:ascii="David" w:hAnsi="David" w:cs="David"/>
          <w:sz w:val="24"/>
          <w:szCs w:val="24"/>
          <w:rtl/>
        </w:rPr>
      </w:pPr>
      <w:r>
        <w:rPr>
          <w:rFonts w:ascii="David" w:hAnsi="David" w:cs="David" w:hint="cs"/>
          <w:sz w:val="24"/>
          <w:szCs w:val="24"/>
          <w:rtl/>
        </w:rPr>
        <w:t xml:space="preserve">עוד נקבע בפסיקה כי </w:t>
      </w:r>
      <w:r w:rsidRPr="00A96BB2">
        <w:rPr>
          <w:rFonts w:ascii="David" w:hAnsi="David" w:cs="David"/>
          <w:sz w:val="24"/>
          <w:szCs w:val="24"/>
          <w:rtl/>
        </w:rPr>
        <w:t>יש חשיבות רבה להתנהגות הצדדים במהלך הבוררות. הצדדים לבוררות יכולים להרחיב, בהתנהגותם, את תחומי הבוררות ואת סמכויות הבורר. טענה בדיעבד של אחד הצדדים כי לא הסכים בכתב להרחבה שכזו, אשר נוגדת את הסכם הבוררות הכתוב, תידחה על בסיס עקרונות של מניעות והשתק</w:t>
      </w:r>
      <w:r w:rsidR="0013441D">
        <w:rPr>
          <w:rFonts w:ascii="David" w:hAnsi="David" w:cs="David" w:hint="cs"/>
          <w:sz w:val="24"/>
          <w:szCs w:val="24"/>
          <w:rtl/>
        </w:rPr>
        <w:t xml:space="preserve">, לפיהם </w:t>
      </w:r>
      <w:r w:rsidR="0013441D" w:rsidRPr="0013441D">
        <w:rPr>
          <w:rFonts w:ascii="David" w:hAnsi="David" w:cs="David"/>
          <w:sz w:val="24"/>
          <w:szCs w:val="24"/>
          <w:rtl/>
        </w:rPr>
        <w:t>אם בעל דין יודע כי נפגעת זכותו בהליך הבוררות (למשל, אם הוא סבור כי הבורר חורג מסמכות) אך נמנע מלהשיג על כך באופן יזום ובהזדמנות הראשונה, אזי הוא יהיה מושתק מלטעון את ההיפך בעת הבקשה לביטול הפסק</w:t>
      </w:r>
      <w:r w:rsidR="0013441D">
        <w:rPr>
          <w:rFonts w:ascii="David" w:hAnsi="David" w:cs="David" w:hint="cs"/>
          <w:sz w:val="24"/>
          <w:szCs w:val="24"/>
          <w:rtl/>
        </w:rPr>
        <w:t>.</w:t>
      </w:r>
    </w:p>
    <w:p w:rsidR="0066074D" w:rsidRDefault="00A96BB2" w:rsidP="002931B7">
      <w:pPr>
        <w:pStyle w:val="af"/>
        <w:spacing w:line="360" w:lineRule="auto"/>
        <w:ind w:left="360"/>
        <w:jc w:val="both"/>
        <w:rPr>
          <w:rFonts w:ascii="David" w:hAnsi="David" w:cs="David"/>
          <w:sz w:val="24"/>
          <w:szCs w:val="24"/>
          <w:rtl/>
        </w:rPr>
      </w:pPr>
      <w:r w:rsidRPr="00A96BB2">
        <w:rPr>
          <w:rFonts w:ascii="David" w:hAnsi="David" w:cs="David"/>
          <w:sz w:val="24"/>
          <w:szCs w:val="24"/>
          <w:rtl/>
        </w:rPr>
        <w:t xml:space="preserve"> [ראו: רע"א 4928/92 עזרא נ' המועצה המקו</w:t>
      </w:r>
      <w:r>
        <w:rPr>
          <w:rFonts w:ascii="David" w:hAnsi="David" w:cs="David"/>
          <w:sz w:val="24"/>
          <w:szCs w:val="24"/>
          <w:rtl/>
        </w:rPr>
        <w:t>מית תל-מונד</w:t>
      </w:r>
      <w:r>
        <w:rPr>
          <w:rFonts w:ascii="David" w:hAnsi="David" w:cs="David" w:hint="cs"/>
          <w:sz w:val="24"/>
          <w:szCs w:val="24"/>
          <w:rtl/>
        </w:rPr>
        <w:t>,</w:t>
      </w:r>
      <w:r w:rsidRPr="00A96BB2">
        <w:rPr>
          <w:rtl/>
        </w:rPr>
        <w:t xml:space="preserve"> </w:t>
      </w:r>
      <w:r w:rsidRPr="00A96BB2">
        <w:rPr>
          <w:rFonts w:ascii="David" w:hAnsi="David" w:cs="David"/>
          <w:sz w:val="24"/>
          <w:szCs w:val="24"/>
          <w:rtl/>
        </w:rPr>
        <w:t>רע"א 4095/12 מגנזי תשתיות ב.ג.מ בע"מ</w:t>
      </w:r>
      <w:r w:rsidR="00E559C4">
        <w:rPr>
          <w:rFonts w:ascii="David" w:hAnsi="David" w:cs="David"/>
          <w:sz w:val="24"/>
          <w:szCs w:val="24"/>
          <w:rtl/>
        </w:rPr>
        <w:t xml:space="preserve"> נ' סקיק </w:t>
      </w:r>
      <w:r w:rsidRPr="00A96BB2">
        <w:rPr>
          <w:rFonts w:ascii="David" w:hAnsi="David" w:cs="David"/>
          <w:sz w:val="24"/>
          <w:szCs w:val="24"/>
          <w:rtl/>
        </w:rPr>
        <w:t xml:space="preserve"> בע"מ</w:t>
      </w:r>
      <w:r>
        <w:rPr>
          <w:rFonts w:ascii="David" w:hAnsi="David" w:cs="David" w:hint="cs"/>
          <w:sz w:val="24"/>
          <w:szCs w:val="24"/>
          <w:rtl/>
        </w:rPr>
        <w:t>,</w:t>
      </w:r>
      <w:r w:rsidRPr="00A96BB2">
        <w:rPr>
          <w:rtl/>
        </w:rPr>
        <w:t xml:space="preserve"> </w:t>
      </w:r>
      <w:r w:rsidRPr="00A96BB2">
        <w:rPr>
          <w:rFonts w:ascii="David" w:hAnsi="David" w:cs="David"/>
          <w:sz w:val="24"/>
          <w:szCs w:val="24"/>
          <w:rtl/>
        </w:rPr>
        <w:t>ע"א 2638/18 חברה פלונית נ' שותפות פלונית ואח</w:t>
      </w:r>
      <w:r w:rsidR="00E559C4">
        <w:rPr>
          <w:rFonts w:ascii="David" w:hAnsi="David" w:cs="David" w:hint="cs"/>
          <w:sz w:val="24"/>
          <w:szCs w:val="24"/>
          <w:rtl/>
        </w:rPr>
        <w:t>'</w:t>
      </w:r>
      <w:r>
        <w:rPr>
          <w:rFonts w:ascii="David" w:hAnsi="David" w:cs="David" w:hint="cs"/>
          <w:sz w:val="24"/>
          <w:szCs w:val="24"/>
          <w:rtl/>
        </w:rPr>
        <w:t>).</w:t>
      </w:r>
    </w:p>
    <w:p w:rsidR="0013441D" w:rsidRDefault="0013441D" w:rsidP="002931B7">
      <w:pPr>
        <w:pStyle w:val="af"/>
        <w:spacing w:line="360" w:lineRule="auto"/>
        <w:ind w:left="360"/>
        <w:jc w:val="both"/>
        <w:rPr>
          <w:rFonts w:ascii="David" w:hAnsi="David" w:cs="David"/>
          <w:sz w:val="24"/>
          <w:szCs w:val="24"/>
        </w:rPr>
      </w:pPr>
    </w:p>
    <w:p w:rsidR="005D4E8C" w:rsidRPr="0066074D" w:rsidRDefault="0066074D" w:rsidP="002931B7">
      <w:pPr>
        <w:pStyle w:val="af"/>
        <w:numPr>
          <w:ilvl w:val="0"/>
          <w:numId w:val="2"/>
        </w:numPr>
        <w:spacing w:line="360" w:lineRule="auto"/>
        <w:jc w:val="both"/>
        <w:rPr>
          <w:rFonts w:ascii="David" w:hAnsi="David" w:cs="David"/>
          <w:sz w:val="24"/>
          <w:szCs w:val="24"/>
          <w:rtl/>
        </w:rPr>
      </w:pPr>
      <w:r w:rsidRPr="0066074D">
        <w:rPr>
          <w:rFonts w:ascii="David" w:hAnsi="David" w:cs="David" w:hint="cs"/>
          <w:sz w:val="24"/>
          <w:szCs w:val="24"/>
          <w:rtl/>
        </w:rPr>
        <w:t>הצדדים הסכימו להעביר את התביעה לפירוק שיתוף  בדירה ואת התביעה לדמי שימוש, בנוסף לתביעות אחרות להכרעת הבוררת.</w:t>
      </w:r>
    </w:p>
    <w:p w:rsidR="0013441D" w:rsidRDefault="00081598" w:rsidP="002931B7">
      <w:pPr>
        <w:pStyle w:val="af"/>
        <w:spacing w:line="360" w:lineRule="auto"/>
        <w:ind w:left="360"/>
        <w:jc w:val="both"/>
        <w:rPr>
          <w:rFonts w:ascii="David" w:hAnsi="David" w:cs="David"/>
          <w:sz w:val="24"/>
          <w:szCs w:val="24"/>
          <w:rtl/>
        </w:rPr>
      </w:pPr>
      <w:r>
        <w:rPr>
          <w:rFonts w:ascii="David" w:hAnsi="David" w:cs="David" w:hint="cs"/>
          <w:sz w:val="24"/>
          <w:szCs w:val="24"/>
          <w:rtl/>
        </w:rPr>
        <w:t>גם אם הנתבע</w:t>
      </w:r>
      <w:r w:rsidR="00E84BA3">
        <w:rPr>
          <w:rFonts w:ascii="David" w:hAnsi="David" w:cs="David" w:hint="cs"/>
          <w:sz w:val="24"/>
          <w:szCs w:val="24"/>
          <w:rtl/>
        </w:rPr>
        <w:t xml:space="preserve"> לא העלה  במפורש ,בכתב הגנתו לתביעה לפירוק השיתוף,  כי </w:t>
      </w:r>
      <w:r>
        <w:rPr>
          <w:rFonts w:ascii="David" w:hAnsi="David" w:cs="David" w:hint="cs"/>
          <w:sz w:val="24"/>
          <w:szCs w:val="24"/>
          <w:rtl/>
        </w:rPr>
        <w:t>יש לשום את הדירה כנכס תפוס, הרי הוא טען בכתב ההגנה  שהוא מחזיק בנכס ועושה בו</w:t>
      </w:r>
      <w:r w:rsidR="00E84BA3">
        <w:rPr>
          <w:rFonts w:ascii="David" w:hAnsi="David" w:cs="David" w:hint="cs"/>
          <w:sz w:val="24"/>
          <w:szCs w:val="24"/>
          <w:rtl/>
        </w:rPr>
        <w:t xml:space="preserve"> שימוש מזה שנים .</w:t>
      </w:r>
    </w:p>
    <w:p w:rsidR="00E84BA3" w:rsidRPr="0066074D" w:rsidRDefault="00E84BA3" w:rsidP="002931B7">
      <w:pPr>
        <w:pStyle w:val="af"/>
        <w:spacing w:line="360" w:lineRule="auto"/>
        <w:ind w:left="360"/>
        <w:jc w:val="both"/>
        <w:rPr>
          <w:rFonts w:ascii="David" w:hAnsi="David" w:cs="David"/>
          <w:sz w:val="24"/>
          <w:szCs w:val="24"/>
          <w:rtl/>
        </w:rPr>
      </w:pPr>
      <w:r w:rsidRPr="0066074D">
        <w:rPr>
          <w:rFonts w:ascii="David" w:hAnsi="David" w:cs="David"/>
          <w:sz w:val="24"/>
          <w:szCs w:val="24"/>
          <w:rtl/>
        </w:rPr>
        <w:t xml:space="preserve">בנוסף, בכתב ההגנה לתביעה לדמי שימוש (תמ"ש 35296-06-17  </w:t>
      </w:r>
      <w:r w:rsidR="005D4E8C" w:rsidRPr="0066074D">
        <w:rPr>
          <w:rFonts w:ascii="David" w:hAnsi="David" w:cs="David"/>
          <w:sz w:val="24"/>
          <w:szCs w:val="24"/>
          <w:rtl/>
        </w:rPr>
        <w:t xml:space="preserve">סעיפים 16.6 ו16.7 </w:t>
      </w:r>
      <w:r w:rsidRPr="0066074D">
        <w:rPr>
          <w:rFonts w:ascii="David" w:hAnsi="David" w:cs="David"/>
          <w:sz w:val="24"/>
          <w:szCs w:val="24"/>
          <w:rtl/>
        </w:rPr>
        <w:t xml:space="preserve">) </w:t>
      </w:r>
      <w:r w:rsidR="00BF3D5D">
        <w:rPr>
          <w:rFonts w:ascii="David" w:hAnsi="David" w:cs="David"/>
          <w:sz w:val="24"/>
          <w:szCs w:val="24"/>
          <w:rtl/>
        </w:rPr>
        <w:t>נטען במפורש כי ל</w:t>
      </w:r>
      <w:r w:rsidR="00BF3D5D">
        <w:rPr>
          <w:rFonts w:ascii="David" w:hAnsi="David" w:cs="David" w:hint="cs"/>
          <w:sz w:val="24"/>
          <w:szCs w:val="24"/>
          <w:rtl/>
        </w:rPr>
        <w:t>נתבעים</w:t>
      </w:r>
      <w:r w:rsidR="005D4E8C" w:rsidRPr="0066074D">
        <w:rPr>
          <w:rFonts w:ascii="David" w:hAnsi="David" w:cs="David"/>
          <w:sz w:val="24"/>
          <w:szCs w:val="24"/>
          <w:rtl/>
        </w:rPr>
        <w:t xml:space="preserve"> עומדת זכות לפי סעיף33 לחו</w:t>
      </w:r>
      <w:r w:rsidRPr="0066074D">
        <w:rPr>
          <w:rFonts w:ascii="David" w:hAnsi="David" w:cs="David"/>
          <w:sz w:val="24"/>
          <w:szCs w:val="24"/>
          <w:rtl/>
        </w:rPr>
        <w:t>ק הגנת הדייר וזכות להחזיק בנכס.</w:t>
      </w:r>
    </w:p>
    <w:p w:rsidR="00C65FA5" w:rsidRDefault="0066074D" w:rsidP="0013508B">
      <w:pPr>
        <w:pStyle w:val="af"/>
        <w:spacing w:line="360" w:lineRule="auto"/>
        <w:ind w:left="360"/>
        <w:jc w:val="both"/>
        <w:rPr>
          <w:rFonts w:ascii="David" w:hAnsi="David" w:cs="David"/>
          <w:sz w:val="24"/>
          <w:szCs w:val="24"/>
          <w:rtl/>
        </w:rPr>
      </w:pPr>
      <w:r>
        <w:rPr>
          <w:rFonts w:ascii="David" w:hAnsi="David" w:cs="David" w:hint="cs"/>
          <w:sz w:val="24"/>
          <w:szCs w:val="24"/>
          <w:rtl/>
        </w:rPr>
        <w:t>על כן השאלה האם יש לשום את הנכס כנכס תפוס או לא</w:t>
      </w:r>
      <w:r w:rsidR="0013441D">
        <w:rPr>
          <w:rFonts w:ascii="David" w:hAnsi="David" w:cs="David" w:hint="cs"/>
          <w:sz w:val="24"/>
          <w:szCs w:val="24"/>
          <w:rtl/>
        </w:rPr>
        <w:t>,</w:t>
      </w:r>
      <w:r>
        <w:rPr>
          <w:rFonts w:ascii="David" w:hAnsi="David" w:cs="David" w:hint="cs"/>
          <w:sz w:val="24"/>
          <w:szCs w:val="24"/>
          <w:rtl/>
        </w:rPr>
        <w:t xml:space="preserve"> היא הכרעה</w:t>
      </w:r>
      <w:r w:rsidR="0013441D">
        <w:rPr>
          <w:rFonts w:ascii="David" w:hAnsi="David" w:cs="David"/>
          <w:sz w:val="24"/>
          <w:szCs w:val="24"/>
          <w:rtl/>
        </w:rPr>
        <w:t xml:space="preserve"> בסוגיות שמצויות בלב ליב</w:t>
      </w:r>
      <w:r w:rsidR="0013441D">
        <w:rPr>
          <w:rFonts w:ascii="David" w:hAnsi="David" w:cs="David" w:hint="cs"/>
          <w:sz w:val="24"/>
          <w:szCs w:val="24"/>
          <w:rtl/>
        </w:rPr>
        <w:t>ו של הסכסוך</w:t>
      </w:r>
      <w:r w:rsidR="0013441D">
        <w:rPr>
          <w:rFonts w:ascii="David" w:hAnsi="David" w:cs="David"/>
          <w:sz w:val="24"/>
          <w:szCs w:val="24"/>
          <w:rtl/>
        </w:rPr>
        <w:t xml:space="preserve"> </w:t>
      </w:r>
      <w:r w:rsidR="0013441D">
        <w:rPr>
          <w:rFonts w:ascii="David" w:hAnsi="David" w:cs="David" w:hint="cs"/>
          <w:sz w:val="24"/>
          <w:szCs w:val="24"/>
          <w:rtl/>
        </w:rPr>
        <w:t>ובסמכות הבוררת</w:t>
      </w:r>
      <w:r w:rsidRPr="0066074D">
        <w:rPr>
          <w:rFonts w:ascii="David" w:hAnsi="David" w:cs="David"/>
          <w:sz w:val="24"/>
          <w:szCs w:val="24"/>
          <w:rtl/>
        </w:rPr>
        <w:t>.</w:t>
      </w:r>
    </w:p>
    <w:p w:rsidR="0013508B" w:rsidRPr="0013508B" w:rsidRDefault="0013508B" w:rsidP="0013508B">
      <w:pPr>
        <w:pStyle w:val="af"/>
        <w:spacing w:line="360" w:lineRule="auto"/>
        <w:ind w:left="360"/>
        <w:jc w:val="both"/>
        <w:rPr>
          <w:rFonts w:ascii="David" w:hAnsi="David" w:cs="David"/>
          <w:sz w:val="24"/>
          <w:szCs w:val="24"/>
        </w:rPr>
      </w:pPr>
    </w:p>
    <w:p w:rsidR="005D4E8C" w:rsidRPr="002E4A5B" w:rsidRDefault="00A40F99"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מבלי לפגוע באמור לעיל, הרי התובעים </w:t>
      </w:r>
      <w:r>
        <w:rPr>
          <w:rFonts w:ascii="David" w:hAnsi="David" w:cs="David"/>
          <w:sz w:val="24"/>
          <w:szCs w:val="24"/>
          <w:rtl/>
        </w:rPr>
        <w:t xml:space="preserve"> </w:t>
      </w:r>
      <w:r w:rsidRPr="00A40F99">
        <w:rPr>
          <w:rFonts w:ascii="David" w:hAnsi="David" w:cs="David"/>
          <w:sz w:val="24"/>
          <w:szCs w:val="24"/>
          <w:rtl/>
        </w:rPr>
        <w:t>מושתק</w:t>
      </w:r>
      <w:r>
        <w:rPr>
          <w:rFonts w:ascii="David" w:hAnsi="David" w:cs="David" w:hint="cs"/>
          <w:sz w:val="24"/>
          <w:szCs w:val="24"/>
          <w:rtl/>
        </w:rPr>
        <w:t xml:space="preserve">ים </w:t>
      </w:r>
      <w:r w:rsidRPr="00A40F99">
        <w:rPr>
          <w:rFonts w:ascii="David" w:hAnsi="David" w:cs="David"/>
          <w:sz w:val="24"/>
          <w:szCs w:val="24"/>
          <w:rtl/>
        </w:rPr>
        <w:t xml:space="preserve"> מ</w:t>
      </w:r>
      <w:r>
        <w:rPr>
          <w:rFonts w:ascii="David" w:hAnsi="David" w:cs="David"/>
          <w:sz w:val="24"/>
          <w:szCs w:val="24"/>
          <w:rtl/>
        </w:rPr>
        <w:t>לטעון לחוסר סמכות לנוכח התנהגות</w:t>
      </w:r>
      <w:r>
        <w:rPr>
          <w:rFonts w:ascii="David" w:hAnsi="David" w:cs="David" w:hint="cs"/>
          <w:sz w:val="24"/>
          <w:szCs w:val="24"/>
          <w:rtl/>
        </w:rPr>
        <w:t>ם</w:t>
      </w:r>
      <w:r w:rsidRPr="00A40F99">
        <w:rPr>
          <w:rFonts w:ascii="David" w:hAnsi="David" w:cs="David"/>
          <w:sz w:val="24"/>
          <w:szCs w:val="24"/>
          <w:rtl/>
        </w:rPr>
        <w:t xml:space="preserve"> במהלך הבוררות. בית המשפט לא יקבל, ככלל, טענת חוסר סמכות שמועלית בדיעבד על ידי צד לבוררות שכן זו לא נטענה ב"זמן אמת", ועל אחת כמה וכמה כאשר מפרוטוקול הבוררות ומפסק הבוררות עולה</w:t>
      </w:r>
      <w:r w:rsidR="002E4A5B">
        <w:rPr>
          <w:rFonts w:ascii="David" w:hAnsi="David" w:cs="David" w:hint="cs"/>
          <w:sz w:val="24"/>
          <w:szCs w:val="24"/>
          <w:rtl/>
        </w:rPr>
        <w:t>,</w:t>
      </w:r>
      <w:r w:rsidRPr="00A40F99">
        <w:rPr>
          <w:rFonts w:ascii="David" w:hAnsi="David" w:cs="David"/>
          <w:sz w:val="24"/>
          <w:szCs w:val="24"/>
          <w:rtl/>
        </w:rPr>
        <w:t xml:space="preserve"> ששני הצדדים טענו לפני הבורר</w:t>
      </w:r>
      <w:r w:rsidR="0013441D">
        <w:rPr>
          <w:rFonts w:ascii="David" w:hAnsi="David" w:cs="David" w:hint="cs"/>
          <w:sz w:val="24"/>
          <w:szCs w:val="24"/>
          <w:rtl/>
        </w:rPr>
        <w:t>ת</w:t>
      </w:r>
      <w:r w:rsidRPr="00A40F99">
        <w:rPr>
          <w:rFonts w:ascii="David" w:hAnsi="David" w:cs="David"/>
          <w:sz w:val="24"/>
          <w:szCs w:val="24"/>
          <w:rtl/>
        </w:rPr>
        <w:t xml:space="preserve"> לגופו של עניין</w:t>
      </w:r>
      <w:r w:rsidR="0013441D">
        <w:rPr>
          <w:rFonts w:ascii="David" w:hAnsi="David" w:cs="David" w:hint="cs"/>
          <w:sz w:val="24"/>
          <w:szCs w:val="24"/>
          <w:rtl/>
        </w:rPr>
        <w:t>,</w:t>
      </w:r>
      <w:r w:rsidRPr="00A40F99">
        <w:rPr>
          <w:rFonts w:ascii="David" w:hAnsi="David" w:cs="David"/>
          <w:sz w:val="24"/>
          <w:szCs w:val="24"/>
          <w:rtl/>
        </w:rPr>
        <w:t xml:space="preserve"> ולא עצרו ב"מפתן" הסמכות. </w:t>
      </w:r>
    </w:p>
    <w:p w:rsidR="00D74DD6" w:rsidRPr="002E4A5B" w:rsidRDefault="005D4E8C" w:rsidP="002931B7">
      <w:pPr>
        <w:pStyle w:val="af"/>
        <w:numPr>
          <w:ilvl w:val="0"/>
          <w:numId w:val="9"/>
        </w:numPr>
        <w:spacing w:line="360" w:lineRule="auto"/>
        <w:jc w:val="both"/>
        <w:rPr>
          <w:rFonts w:ascii="David" w:hAnsi="David" w:cs="David"/>
          <w:b/>
          <w:bCs/>
          <w:sz w:val="24"/>
          <w:szCs w:val="24"/>
          <w:rtl/>
        </w:rPr>
      </w:pPr>
      <w:r w:rsidRPr="002B034B">
        <w:rPr>
          <w:rFonts w:ascii="David" w:hAnsi="David" w:cs="David"/>
          <w:sz w:val="24"/>
          <w:szCs w:val="24"/>
          <w:rtl/>
        </w:rPr>
        <w:t>בדיון מ</w:t>
      </w:r>
      <w:r w:rsidR="0013441D">
        <w:rPr>
          <w:rFonts w:ascii="David" w:hAnsi="David" w:cs="David"/>
          <w:sz w:val="24"/>
          <w:szCs w:val="24"/>
          <w:rtl/>
        </w:rPr>
        <w:t xml:space="preserve">יום 2/1/19 בפני כב' הבוררת </w:t>
      </w:r>
      <w:r w:rsidR="002E4A5B">
        <w:rPr>
          <w:rFonts w:ascii="David" w:hAnsi="David" w:cs="David" w:hint="cs"/>
          <w:sz w:val="24"/>
          <w:szCs w:val="24"/>
          <w:rtl/>
        </w:rPr>
        <w:t>,</w:t>
      </w:r>
      <w:r w:rsidRPr="002B034B">
        <w:rPr>
          <w:rFonts w:ascii="David" w:hAnsi="David" w:cs="David"/>
          <w:sz w:val="24"/>
          <w:szCs w:val="24"/>
          <w:rtl/>
        </w:rPr>
        <w:t xml:space="preserve"> עו"ד דרעי</w:t>
      </w:r>
      <w:r w:rsidR="00D74DD6" w:rsidRPr="002B034B">
        <w:rPr>
          <w:rFonts w:ascii="David" w:hAnsi="David" w:cs="David"/>
          <w:sz w:val="24"/>
          <w:szCs w:val="24"/>
          <w:rtl/>
        </w:rPr>
        <w:t>(ב"כ הנתבעים)</w:t>
      </w:r>
      <w:r w:rsidRPr="002B034B">
        <w:rPr>
          <w:rFonts w:ascii="David" w:hAnsi="David" w:cs="David"/>
          <w:sz w:val="24"/>
          <w:szCs w:val="24"/>
          <w:rtl/>
        </w:rPr>
        <w:t xml:space="preserve"> בקש שה</w:t>
      </w:r>
      <w:r w:rsidR="0013441D">
        <w:rPr>
          <w:rFonts w:ascii="David" w:hAnsi="David" w:cs="David"/>
          <w:sz w:val="24"/>
          <w:szCs w:val="24"/>
          <w:rtl/>
        </w:rPr>
        <w:t>שמאי י</w:t>
      </w:r>
      <w:r w:rsidR="00C65FA5">
        <w:rPr>
          <w:rFonts w:ascii="David" w:hAnsi="David" w:cs="David" w:hint="cs"/>
          <w:sz w:val="24"/>
          <w:szCs w:val="24"/>
          <w:rtl/>
        </w:rPr>
        <w:t xml:space="preserve">עריך </w:t>
      </w:r>
      <w:r w:rsidR="002E4A5B">
        <w:rPr>
          <w:rFonts w:ascii="David" w:hAnsi="David" w:cs="David"/>
          <w:sz w:val="24"/>
          <w:szCs w:val="24"/>
          <w:rtl/>
        </w:rPr>
        <w:t>את הנכס גם כ</w:t>
      </w:r>
      <w:r w:rsidR="002E4A5B">
        <w:rPr>
          <w:rFonts w:ascii="David" w:hAnsi="David" w:cs="David" w:hint="cs"/>
          <w:sz w:val="24"/>
          <w:szCs w:val="24"/>
          <w:rtl/>
        </w:rPr>
        <w:t>נכס</w:t>
      </w:r>
      <w:r w:rsidR="002E4A5B">
        <w:rPr>
          <w:rFonts w:ascii="David" w:hAnsi="David" w:cs="David"/>
          <w:sz w:val="24"/>
          <w:szCs w:val="24"/>
          <w:rtl/>
        </w:rPr>
        <w:t xml:space="preserve"> תפוס</w:t>
      </w:r>
      <w:r w:rsidR="002E4A5B">
        <w:rPr>
          <w:rFonts w:ascii="David" w:hAnsi="David" w:cs="David" w:hint="cs"/>
          <w:sz w:val="24"/>
          <w:szCs w:val="24"/>
          <w:rtl/>
        </w:rPr>
        <w:t>,</w:t>
      </w:r>
      <w:r w:rsidR="00C65FA5">
        <w:rPr>
          <w:rFonts w:ascii="David" w:hAnsi="David" w:cs="David" w:hint="cs"/>
          <w:sz w:val="24"/>
          <w:szCs w:val="24"/>
          <w:rtl/>
        </w:rPr>
        <w:t xml:space="preserve"> </w:t>
      </w:r>
      <w:r w:rsidR="00893D05">
        <w:rPr>
          <w:rFonts w:ascii="David" w:hAnsi="David" w:cs="David"/>
          <w:sz w:val="24"/>
          <w:szCs w:val="24"/>
          <w:rtl/>
        </w:rPr>
        <w:t xml:space="preserve">עו"ד </w:t>
      </w:r>
      <w:r w:rsidR="00893D05">
        <w:rPr>
          <w:rFonts w:ascii="David" w:hAnsi="David" w:cs="David" w:hint="cs"/>
          <w:sz w:val="24"/>
          <w:szCs w:val="24"/>
          <w:rtl/>
        </w:rPr>
        <w:t>עותמאן</w:t>
      </w:r>
      <w:r w:rsidRPr="002B034B">
        <w:rPr>
          <w:rFonts w:ascii="David" w:hAnsi="David" w:cs="David"/>
          <w:sz w:val="24"/>
          <w:szCs w:val="24"/>
          <w:rtl/>
        </w:rPr>
        <w:t xml:space="preserve"> </w:t>
      </w:r>
      <w:r w:rsidR="00D74DD6" w:rsidRPr="002B034B">
        <w:rPr>
          <w:rFonts w:ascii="David" w:hAnsi="David" w:cs="David"/>
          <w:sz w:val="24"/>
          <w:szCs w:val="24"/>
          <w:rtl/>
        </w:rPr>
        <w:t>(ב"כ התובעים)התנגד, אך לא טען כי מדובר בעני</w:t>
      </w:r>
      <w:r w:rsidR="0013441D">
        <w:rPr>
          <w:rFonts w:ascii="David" w:hAnsi="David" w:cs="David" w:hint="cs"/>
          <w:sz w:val="24"/>
          <w:szCs w:val="24"/>
          <w:rtl/>
        </w:rPr>
        <w:t>י</w:t>
      </w:r>
      <w:r w:rsidR="00D74DD6" w:rsidRPr="002B034B">
        <w:rPr>
          <w:rFonts w:ascii="David" w:hAnsi="David" w:cs="David"/>
          <w:sz w:val="24"/>
          <w:szCs w:val="24"/>
          <w:rtl/>
        </w:rPr>
        <w:t xml:space="preserve">ן שהוא בחריגה מסמכות. </w:t>
      </w:r>
      <w:r w:rsidRPr="002B034B">
        <w:rPr>
          <w:rFonts w:ascii="David" w:hAnsi="David" w:cs="David"/>
          <w:sz w:val="24"/>
          <w:szCs w:val="24"/>
          <w:rtl/>
        </w:rPr>
        <w:t>בהמשך</w:t>
      </w:r>
      <w:r w:rsidR="0013441D">
        <w:rPr>
          <w:rFonts w:ascii="David" w:hAnsi="David" w:cs="David" w:hint="cs"/>
          <w:sz w:val="24"/>
          <w:szCs w:val="24"/>
          <w:rtl/>
        </w:rPr>
        <w:t>,</w:t>
      </w:r>
      <w:r w:rsidR="00C65FA5">
        <w:rPr>
          <w:rFonts w:ascii="David" w:hAnsi="David" w:cs="David" w:hint="cs"/>
          <w:sz w:val="24"/>
          <w:szCs w:val="24"/>
          <w:rtl/>
        </w:rPr>
        <w:t xml:space="preserve"> באותו </w:t>
      </w:r>
      <w:r w:rsidR="0013441D">
        <w:rPr>
          <w:rFonts w:ascii="David" w:hAnsi="David" w:cs="David" w:hint="cs"/>
          <w:sz w:val="24"/>
          <w:szCs w:val="24"/>
          <w:rtl/>
        </w:rPr>
        <w:t>דיון ,</w:t>
      </w:r>
      <w:r w:rsidRPr="002B034B">
        <w:rPr>
          <w:rFonts w:ascii="David" w:hAnsi="David" w:cs="David"/>
          <w:sz w:val="24"/>
          <w:szCs w:val="24"/>
          <w:rtl/>
        </w:rPr>
        <w:t xml:space="preserve"> כב' הבוררת מינתה את </w:t>
      </w:r>
      <w:r w:rsidR="0013441D">
        <w:rPr>
          <w:rFonts w:ascii="David" w:hAnsi="David" w:cs="David"/>
          <w:sz w:val="24"/>
          <w:szCs w:val="24"/>
          <w:rtl/>
        </w:rPr>
        <w:t xml:space="preserve"> </w:t>
      </w:r>
      <w:r w:rsidR="0013441D">
        <w:rPr>
          <w:rFonts w:ascii="David" w:hAnsi="David" w:cs="David" w:hint="cs"/>
          <w:sz w:val="24"/>
          <w:szCs w:val="24"/>
          <w:rtl/>
        </w:rPr>
        <w:t>השמאי</w:t>
      </w:r>
      <w:r w:rsidR="00D74DD6" w:rsidRPr="002B034B">
        <w:rPr>
          <w:rFonts w:ascii="David" w:hAnsi="David" w:cs="David"/>
          <w:sz w:val="24"/>
          <w:szCs w:val="24"/>
          <w:rtl/>
        </w:rPr>
        <w:t xml:space="preserve"> מר </w:t>
      </w:r>
      <w:r w:rsidRPr="002B034B">
        <w:rPr>
          <w:rFonts w:ascii="David" w:hAnsi="David" w:cs="David"/>
          <w:sz w:val="24"/>
          <w:szCs w:val="24"/>
          <w:rtl/>
        </w:rPr>
        <w:t>אלעד זעירא כשמאי מומחה מטע</w:t>
      </w:r>
      <w:r w:rsidR="00D74DD6" w:rsidRPr="002B034B">
        <w:rPr>
          <w:rFonts w:ascii="David" w:hAnsi="David" w:cs="David"/>
          <w:sz w:val="24"/>
          <w:szCs w:val="24"/>
          <w:rtl/>
        </w:rPr>
        <w:t xml:space="preserve">מה וקבעה הנחיות שונות לרבות </w:t>
      </w:r>
      <w:r w:rsidRPr="002B034B">
        <w:rPr>
          <w:rFonts w:ascii="David" w:hAnsi="David" w:cs="David"/>
          <w:sz w:val="24"/>
          <w:szCs w:val="24"/>
          <w:rtl/>
        </w:rPr>
        <w:t xml:space="preserve">" </w:t>
      </w:r>
      <w:r w:rsidRPr="002B034B">
        <w:rPr>
          <w:rFonts w:ascii="David" w:hAnsi="David" w:cs="David"/>
          <w:b/>
          <w:bCs/>
          <w:sz w:val="24"/>
          <w:szCs w:val="24"/>
          <w:rtl/>
        </w:rPr>
        <w:t xml:space="preserve">כי </w:t>
      </w:r>
      <w:r w:rsidR="000A5897">
        <w:rPr>
          <w:rFonts w:ascii="David" w:hAnsi="David" w:cs="David" w:hint="cs"/>
          <w:b/>
          <w:bCs/>
          <w:sz w:val="24"/>
          <w:szCs w:val="24"/>
          <w:rtl/>
        </w:rPr>
        <w:t xml:space="preserve">השמאי </w:t>
      </w:r>
      <w:r w:rsidRPr="002B034B">
        <w:rPr>
          <w:rFonts w:ascii="David" w:hAnsi="David" w:cs="David"/>
          <w:b/>
          <w:bCs/>
          <w:sz w:val="24"/>
          <w:szCs w:val="24"/>
          <w:rtl/>
        </w:rPr>
        <w:t>ישום הנכס גם כנ</w:t>
      </w:r>
      <w:r w:rsidR="00D74DD6" w:rsidRPr="002B034B">
        <w:rPr>
          <w:rFonts w:ascii="David" w:hAnsi="David" w:cs="David"/>
          <w:b/>
          <w:bCs/>
          <w:sz w:val="24"/>
          <w:szCs w:val="24"/>
          <w:rtl/>
        </w:rPr>
        <w:t>כ</w:t>
      </w:r>
      <w:r w:rsidRPr="002B034B">
        <w:rPr>
          <w:rFonts w:ascii="David" w:hAnsi="David" w:cs="David"/>
          <w:b/>
          <w:bCs/>
          <w:sz w:val="24"/>
          <w:szCs w:val="24"/>
          <w:rtl/>
        </w:rPr>
        <w:t>ס תפוס".</w:t>
      </w:r>
    </w:p>
    <w:p w:rsidR="002E4A5B" w:rsidRDefault="005D4E8C" w:rsidP="002931B7">
      <w:pPr>
        <w:pStyle w:val="af"/>
        <w:numPr>
          <w:ilvl w:val="0"/>
          <w:numId w:val="9"/>
        </w:numPr>
        <w:spacing w:line="360" w:lineRule="auto"/>
        <w:jc w:val="both"/>
        <w:rPr>
          <w:rFonts w:ascii="David" w:hAnsi="David" w:cs="David"/>
          <w:sz w:val="24"/>
          <w:szCs w:val="24"/>
        </w:rPr>
      </w:pPr>
      <w:r w:rsidRPr="00C65FA5">
        <w:rPr>
          <w:rFonts w:ascii="David" w:hAnsi="David" w:cs="David"/>
          <w:sz w:val="24"/>
          <w:szCs w:val="24"/>
          <w:rtl/>
        </w:rPr>
        <w:lastRenderedPageBreak/>
        <w:t xml:space="preserve">הנתבע 1 בתצהירו </w:t>
      </w:r>
      <w:r w:rsidR="002B034B" w:rsidRPr="00C65FA5">
        <w:rPr>
          <w:rFonts w:ascii="David" w:hAnsi="David" w:cs="David"/>
          <w:sz w:val="24"/>
          <w:szCs w:val="24"/>
          <w:rtl/>
        </w:rPr>
        <w:t xml:space="preserve">מסר כי </w:t>
      </w:r>
      <w:r w:rsidRPr="00C65FA5">
        <w:rPr>
          <w:rFonts w:ascii="David" w:hAnsi="David" w:cs="David"/>
          <w:sz w:val="24"/>
          <w:szCs w:val="24"/>
          <w:rtl/>
        </w:rPr>
        <w:t>השמאי זעירא פנה לצדדי</w:t>
      </w:r>
      <w:r w:rsidR="00893D05">
        <w:rPr>
          <w:rFonts w:ascii="David" w:hAnsi="David" w:cs="David"/>
          <w:sz w:val="24"/>
          <w:szCs w:val="24"/>
          <w:rtl/>
        </w:rPr>
        <w:t xml:space="preserve">ם לרבות לב"כ התובעים </w:t>
      </w:r>
      <w:r w:rsidR="00893D05">
        <w:rPr>
          <w:rFonts w:ascii="David" w:hAnsi="David" w:cs="David" w:hint="cs"/>
          <w:sz w:val="24"/>
          <w:szCs w:val="24"/>
          <w:rtl/>
        </w:rPr>
        <w:t xml:space="preserve"> עו"ד </w:t>
      </w:r>
      <w:r w:rsidR="00893D05">
        <w:rPr>
          <w:rFonts w:ascii="David" w:hAnsi="David" w:cs="David"/>
          <w:sz w:val="24"/>
          <w:szCs w:val="24"/>
          <w:rtl/>
        </w:rPr>
        <w:t xml:space="preserve">עותמאן </w:t>
      </w:r>
      <w:r w:rsidRPr="00C65FA5">
        <w:rPr>
          <w:rFonts w:ascii="David" w:hAnsi="David" w:cs="David"/>
          <w:sz w:val="24"/>
          <w:szCs w:val="24"/>
          <w:rtl/>
        </w:rPr>
        <w:t>, והודיע כי "כחלק מחוות דעתי נתבקשתי לאמוד את שווי הנכס כתפוס למועדים שונים. לצורך כך עלי לדעת מי "התופס" של הנכס ומה גילו", תוך הפנייה להודעת שמ</w:t>
      </w:r>
      <w:r w:rsidR="000A5897" w:rsidRPr="00C65FA5">
        <w:rPr>
          <w:rFonts w:ascii="David" w:hAnsi="David" w:cs="David"/>
          <w:sz w:val="24"/>
          <w:szCs w:val="24"/>
          <w:rtl/>
        </w:rPr>
        <w:t xml:space="preserve">אי בדואר אלקטרוני מיום 28/2/19, </w:t>
      </w:r>
      <w:r w:rsidRPr="00C65FA5">
        <w:rPr>
          <w:rFonts w:ascii="David" w:hAnsi="David" w:cs="David"/>
          <w:sz w:val="24"/>
          <w:szCs w:val="24"/>
          <w:rtl/>
        </w:rPr>
        <w:t>הצדדים פרשו טענותיהם בפני המומחה זעירא .ב"כ הנתבע1 מתאריך 18/</w:t>
      </w:r>
      <w:r w:rsidR="002E4A5B">
        <w:rPr>
          <w:rFonts w:ascii="David" w:hAnsi="David" w:cs="David"/>
          <w:sz w:val="24"/>
          <w:szCs w:val="24"/>
          <w:rtl/>
        </w:rPr>
        <w:t xml:space="preserve">2/19 , וב"כ התובעים דאז-עוד </w:t>
      </w:r>
      <w:r w:rsidR="00893D05">
        <w:rPr>
          <w:rFonts w:ascii="David" w:hAnsi="David" w:cs="David" w:hint="cs"/>
          <w:sz w:val="24"/>
          <w:szCs w:val="24"/>
          <w:rtl/>
        </w:rPr>
        <w:t xml:space="preserve">עותמאן </w:t>
      </w:r>
      <w:r w:rsidRPr="00C65FA5">
        <w:rPr>
          <w:rFonts w:ascii="David" w:hAnsi="David" w:cs="David"/>
          <w:sz w:val="24"/>
          <w:szCs w:val="24"/>
          <w:rtl/>
        </w:rPr>
        <w:t>במכתבו מיום 23/2/19.</w:t>
      </w:r>
    </w:p>
    <w:p w:rsidR="002E4A5B" w:rsidRDefault="005D4E8C" w:rsidP="002931B7">
      <w:pPr>
        <w:pStyle w:val="af"/>
        <w:spacing w:line="360" w:lineRule="auto"/>
        <w:jc w:val="both"/>
        <w:rPr>
          <w:rFonts w:ascii="David" w:hAnsi="David" w:cs="David"/>
          <w:sz w:val="24"/>
          <w:szCs w:val="24"/>
          <w:rtl/>
        </w:rPr>
      </w:pPr>
      <w:r w:rsidRPr="002E4A5B">
        <w:rPr>
          <w:rFonts w:ascii="David" w:hAnsi="David" w:cs="David"/>
          <w:sz w:val="24"/>
          <w:szCs w:val="24"/>
          <w:rtl/>
        </w:rPr>
        <w:t>עוד הצהיר הנתבע1, כי השמאי זעירא הבהיר כי כחלק מתפקידו ע"פ המינוי היה לשום את שווי הנכס כתפוס לשנת2004 ולשנת2016 (עמ4 לחוות דעת".)</w:t>
      </w:r>
    </w:p>
    <w:p w:rsidR="002B034B" w:rsidRDefault="002B034B" w:rsidP="002931B7">
      <w:pPr>
        <w:pStyle w:val="af"/>
        <w:spacing w:line="360" w:lineRule="auto"/>
        <w:jc w:val="both"/>
        <w:rPr>
          <w:rFonts w:ascii="David" w:hAnsi="David"/>
          <w:rtl/>
        </w:rPr>
      </w:pPr>
      <w:r w:rsidRPr="002E4A5B">
        <w:rPr>
          <w:rFonts w:ascii="David" w:hAnsi="David" w:cs="David"/>
          <w:sz w:val="24"/>
          <w:szCs w:val="24"/>
          <w:rtl/>
        </w:rPr>
        <w:t>לתיק לא הוגשו המכתבים הנ"ל או ח</w:t>
      </w:r>
      <w:r w:rsidR="00913167">
        <w:rPr>
          <w:rFonts w:ascii="David" w:hAnsi="David" w:cs="David" w:hint="cs"/>
          <w:sz w:val="24"/>
          <w:szCs w:val="24"/>
          <w:rtl/>
        </w:rPr>
        <w:t>ו</w:t>
      </w:r>
      <w:r w:rsidRPr="002E4A5B">
        <w:rPr>
          <w:rFonts w:ascii="David" w:hAnsi="David" w:cs="David"/>
          <w:sz w:val="24"/>
          <w:szCs w:val="24"/>
          <w:rtl/>
        </w:rPr>
        <w:t>ות הדעת, אך הגרסה הנ"ל לא נסתרה</w:t>
      </w:r>
      <w:r>
        <w:rPr>
          <w:rFonts w:ascii="David" w:hAnsi="David" w:hint="cs"/>
          <w:rtl/>
        </w:rPr>
        <w:t>.</w:t>
      </w:r>
    </w:p>
    <w:p w:rsidR="002E4A5B" w:rsidRPr="002E4A5B" w:rsidRDefault="002E4A5B" w:rsidP="002931B7">
      <w:pPr>
        <w:pStyle w:val="af"/>
        <w:spacing w:line="360" w:lineRule="auto"/>
        <w:jc w:val="both"/>
        <w:rPr>
          <w:rFonts w:ascii="David" w:hAnsi="David" w:cs="David"/>
          <w:sz w:val="24"/>
          <w:szCs w:val="24"/>
        </w:rPr>
      </w:pPr>
    </w:p>
    <w:p w:rsidR="002E4A5B" w:rsidRPr="0004554E" w:rsidRDefault="000A5897" w:rsidP="002931B7">
      <w:pPr>
        <w:pStyle w:val="af"/>
        <w:numPr>
          <w:ilvl w:val="0"/>
          <w:numId w:val="9"/>
        </w:numPr>
        <w:spacing w:line="360" w:lineRule="auto"/>
        <w:jc w:val="both"/>
        <w:rPr>
          <w:rFonts w:ascii="David" w:hAnsi="David" w:cs="David"/>
          <w:sz w:val="24"/>
          <w:szCs w:val="24"/>
        </w:rPr>
      </w:pPr>
      <w:r>
        <w:rPr>
          <w:rFonts w:ascii="David" w:hAnsi="David" w:cs="David" w:hint="cs"/>
          <w:sz w:val="24"/>
          <w:szCs w:val="24"/>
          <w:rtl/>
        </w:rPr>
        <w:t>בהמשך, הוגשה חוו</w:t>
      </w:r>
      <w:r w:rsidR="00C65FA5">
        <w:rPr>
          <w:rFonts w:ascii="David" w:hAnsi="David" w:cs="David" w:hint="cs"/>
          <w:sz w:val="24"/>
          <w:szCs w:val="24"/>
          <w:rtl/>
        </w:rPr>
        <w:t>ת דעת השמאי אשר העריך את גובה הנ</w:t>
      </w:r>
      <w:r>
        <w:rPr>
          <w:rFonts w:ascii="David" w:hAnsi="David" w:cs="David" w:hint="cs"/>
          <w:sz w:val="24"/>
          <w:szCs w:val="24"/>
          <w:rtl/>
        </w:rPr>
        <w:t>כס גם כנכס תפוס.</w:t>
      </w:r>
    </w:p>
    <w:p w:rsidR="005D4E8C" w:rsidRDefault="00F4065D" w:rsidP="002931B7">
      <w:pPr>
        <w:pStyle w:val="af"/>
        <w:spacing w:line="360" w:lineRule="auto"/>
        <w:jc w:val="both"/>
        <w:rPr>
          <w:rFonts w:ascii="David" w:hAnsi="David" w:cs="David"/>
          <w:sz w:val="24"/>
          <w:szCs w:val="24"/>
        </w:rPr>
      </w:pPr>
      <w:r w:rsidRPr="00F4065D">
        <w:rPr>
          <w:rFonts w:ascii="David" w:hAnsi="David" w:cs="David" w:hint="cs"/>
          <w:sz w:val="24"/>
          <w:szCs w:val="24"/>
          <w:rtl/>
        </w:rPr>
        <w:t xml:space="preserve"> בחקירת השמאי </w:t>
      </w:r>
      <w:r w:rsidR="005D4E8C" w:rsidRPr="00F4065D">
        <w:rPr>
          <w:rFonts w:ascii="David" w:hAnsi="David" w:cs="David" w:hint="cs"/>
          <w:sz w:val="24"/>
          <w:szCs w:val="24"/>
          <w:rtl/>
        </w:rPr>
        <w:t>בפרוטוקו</w:t>
      </w:r>
      <w:r w:rsidR="005D4E8C" w:rsidRPr="00F4065D">
        <w:rPr>
          <w:rFonts w:ascii="David" w:hAnsi="David" w:cs="David" w:hint="eastAsia"/>
          <w:sz w:val="24"/>
          <w:szCs w:val="24"/>
          <w:rtl/>
        </w:rPr>
        <w:t>ל</w:t>
      </w:r>
      <w:r w:rsidRPr="00F4065D">
        <w:rPr>
          <w:rFonts w:ascii="David" w:hAnsi="David" w:cs="David" w:hint="cs"/>
          <w:sz w:val="24"/>
          <w:szCs w:val="24"/>
          <w:rtl/>
        </w:rPr>
        <w:t xml:space="preserve"> דיון מיום 11/6/19  </w:t>
      </w:r>
      <w:r w:rsidR="000A5897">
        <w:rPr>
          <w:rFonts w:ascii="David" w:hAnsi="David" w:cs="David" w:hint="cs"/>
          <w:sz w:val="24"/>
          <w:szCs w:val="24"/>
          <w:rtl/>
        </w:rPr>
        <w:t xml:space="preserve">(מוצג נ/1) </w:t>
      </w:r>
      <w:r w:rsidRPr="00F4065D">
        <w:rPr>
          <w:rFonts w:ascii="David" w:hAnsi="David" w:cs="David" w:hint="cs"/>
          <w:sz w:val="24"/>
          <w:szCs w:val="24"/>
          <w:rtl/>
        </w:rPr>
        <w:t xml:space="preserve">הוא נחקר </w:t>
      </w:r>
      <w:r w:rsidR="005D4E8C" w:rsidRPr="00F4065D">
        <w:rPr>
          <w:rFonts w:ascii="David" w:hAnsi="David" w:cs="David" w:hint="cs"/>
          <w:sz w:val="24"/>
          <w:szCs w:val="24"/>
          <w:rtl/>
        </w:rPr>
        <w:t xml:space="preserve"> אם יש משמעות לשאלה מי בעל הזכויות כתופס. (עמ4 שם).</w:t>
      </w:r>
    </w:p>
    <w:p w:rsidR="002E4A5B" w:rsidRPr="000A5897" w:rsidRDefault="002E4A5B" w:rsidP="002931B7">
      <w:pPr>
        <w:pStyle w:val="af"/>
        <w:spacing w:line="360" w:lineRule="auto"/>
        <w:jc w:val="both"/>
        <w:rPr>
          <w:rFonts w:ascii="David" w:hAnsi="David" w:cs="David"/>
          <w:sz w:val="24"/>
          <w:szCs w:val="24"/>
        </w:rPr>
      </w:pPr>
    </w:p>
    <w:p w:rsidR="000A5897" w:rsidRPr="000A5897" w:rsidRDefault="005D4E8C" w:rsidP="002931B7">
      <w:pPr>
        <w:pStyle w:val="af"/>
        <w:numPr>
          <w:ilvl w:val="0"/>
          <w:numId w:val="9"/>
        </w:numPr>
        <w:spacing w:line="360" w:lineRule="auto"/>
        <w:jc w:val="both"/>
        <w:rPr>
          <w:rFonts w:ascii="David" w:hAnsi="David" w:cs="David"/>
          <w:sz w:val="24"/>
          <w:szCs w:val="24"/>
        </w:rPr>
      </w:pPr>
      <w:r w:rsidRPr="00F4065D">
        <w:rPr>
          <w:rFonts w:ascii="David" w:hAnsi="David" w:cs="David" w:hint="cs"/>
          <w:sz w:val="24"/>
          <w:szCs w:val="24"/>
          <w:rtl/>
        </w:rPr>
        <w:t xml:space="preserve">התובעים עצמם התייחסו לסוגיה זו </w:t>
      </w:r>
      <w:r w:rsidR="00F4065D">
        <w:rPr>
          <w:rFonts w:ascii="David" w:hAnsi="David" w:cs="David" w:hint="cs"/>
          <w:sz w:val="24"/>
          <w:szCs w:val="24"/>
          <w:rtl/>
        </w:rPr>
        <w:t xml:space="preserve"> בסיכומיהם,</w:t>
      </w:r>
      <w:r w:rsidR="00A17B8D">
        <w:rPr>
          <w:rFonts w:ascii="David" w:hAnsi="David" w:cs="David" w:hint="cs"/>
          <w:sz w:val="24"/>
          <w:szCs w:val="24"/>
          <w:rtl/>
        </w:rPr>
        <w:t xml:space="preserve"> </w:t>
      </w:r>
      <w:r w:rsidR="00F4065D">
        <w:rPr>
          <w:rFonts w:ascii="David" w:hAnsi="David" w:cs="David" w:hint="cs"/>
          <w:sz w:val="24"/>
          <w:szCs w:val="24"/>
          <w:rtl/>
        </w:rPr>
        <w:t>ובסיכומי התשובה מטעמם</w:t>
      </w:r>
      <w:r w:rsidR="0011052E">
        <w:rPr>
          <w:rFonts w:ascii="David" w:hAnsi="David" w:cs="David" w:hint="cs"/>
          <w:sz w:val="24"/>
          <w:szCs w:val="24"/>
          <w:rtl/>
        </w:rPr>
        <w:t xml:space="preserve"> ( סעיפים 51-54 לסיכומי התשובה בהליך הבוררות) </w:t>
      </w:r>
      <w:r w:rsidR="00F4065D">
        <w:rPr>
          <w:rFonts w:ascii="David" w:hAnsi="David" w:cs="David" w:hint="cs"/>
          <w:sz w:val="24"/>
          <w:szCs w:val="24"/>
          <w:rtl/>
        </w:rPr>
        <w:t xml:space="preserve"> </w:t>
      </w:r>
      <w:r w:rsidR="0011052E">
        <w:rPr>
          <w:rFonts w:ascii="David" w:hAnsi="David" w:cs="David" w:hint="cs"/>
          <w:sz w:val="24"/>
          <w:szCs w:val="24"/>
          <w:rtl/>
        </w:rPr>
        <w:t xml:space="preserve">וטענו </w:t>
      </w:r>
      <w:r w:rsidR="00F4065D">
        <w:rPr>
          <w:rFonts w:ascii="David" w:hAnsi="David" w:cs="David" w:hint="cs"/>
          <w:sz w:val="24"/>
          <w:szCs w:val="24"/>
          <w:rtl/>
        </w:rPr>
        <w:t xml:space="preserve">כי </w:t>
      </w:r>
      <w:r w:rsidRPr="00F4065D">
        <w:rPr>
          <w:rFonts w:ascii="David" w:hAnsi="David" w:cs="David" w:hint="cs"/>
          <w:sz w:val="24"/>
          <w:szCs w:val="24"/>
          <w:rtl/>
        </w:rPr>
        <w:t>אין לראות את הנכס כנכס תפוס וכי חוק הגנת הדייר ל</w:t>
      </w:r>
      <w:r w:rsidR="00F4065D">
        <w:rPr>
          <w:rFonts w:ascii="David" w:hAnsi="David" w:cs="David" w:hint="cs"/>
          <w:sz w:val="24"/>
          <w:szCs w:val="24"/>
          <w:rtl/>
        </w:rPr>
        <w:t>רבות סעיף33, לא חל על הנתבעים.</w:t>
      </w:r>
      <w:r w:rsidR="0011052E">
        <w:rPr>
          <w:rFonts w:ascii="David" w:hAnsi="David" w:cs="David" w:hint="cs"/>
          <w:sz w:val="24"/>
          <w:szCs w:val="24"/>
          <w:rtl/>
        </w:rPr>
        <w:t xml:space="preserve"> אמנ</w:t>
      </w:r>
      <w:r w:rsidR="000A5897">
        <w:rPr>
          <w:rFonts w:ascii="David" w:hAnsi="David" w:cs="David" w:hint="cs"/>
          <w:sz w:val="24"/>
          <w:szCs w:val="24"/>
          <w:rtl/>
        </w:rPr>
        <w:t>ם התובעים טענו בסעיף 54 לסיכומי</w:t>
      </w:r>
      <w:r w:rsidR="0011052E">
        <w:rPr>
          <w:rFonts w:ascii="David" w:hAnsi="David" w:cs="David" w:hint="cs"/>
          <w:sz w:val="24"/>
          <w:szCs w:val="24"/>
          <w:rtl/>
        </w:rPr>
        <w:t xml:space="preserve"> התשובה הנ"ל   כי הטענה של נכס תפוס  מהווה הרחבת חזית בענ</w:t>
      </w:r>
      <w:r w:rsidR="000A5897">
        <w:rPr>
          <w:rFonts w:ascii="David" w:hAnsi="David" w:cs="David" w:hint="cs"/>
          <w:sz w:val="24"/>
          <w:szCs w:val="24"/>
          <w:rtl/>
        </w:rPr>
        <w:t>י</w:t>
      </w:r>
      <w:r w:rsidR="0011052E">
        <w:rPr>
          <w:rFonts w:ascii="David" w:hAnsi="David" w:cs="David" w:hint="cs"/>
          <w:sz w:val="24"/>
          <w:szCs w:val="24"/>
          <w:rtl/>
        </w:rPr>
        <w:t xml:space="preserve">ין שווי הנכס שכן לא נטענה בכתב ההגנה בתביעה לפירוק השיתוף, אך לא טענו </w:t>
      </w:r>
      <w:r w:rsidR="000A5897">
        <w:rPr>
          <w:rFonts w:ascii="David" w:hAnsi="David" w:cs="David" w:hint="cs"/>
          <w:sz w:val="24"/>
          <w:szCs w:val="24"/>
          <w:rtl/>
        </w:rPr>
        <w:t xml:space="preserve"> ולא העלו הטענה של חריגה מסמכות, באף שלב מהליכי הבוררות.</w:t>
      </w:r>
      <w:r w:rsidR="0011052E" w:rsidRPr="00F4065D">
        <w:rPr>
          <w:rFonts w:ascii="David" w:hAnsi="David"/>
        </w:rPr>
        <w:t xml:space="preserve"> </w:t>
      </w:r>
    </w:p>
    <w:p w:rsidR="000A5897" w:rsidRDefault="005D4E8C" w:rsidP="002931B7">
      <w:pPr>
        <w:pStyle w:val="af"/>
        <w:spacing w:line="360" w:lineRule="auto"/>
        <w:jc w:val="both"/>
        <w:rPr>
          <w:rFonts w:ascii="David" w:hAnsi="David" w:cs="David"/>
          <w:sz w:val="24"/>
          <w:szCs w:val="24"/>
          <w:rtl/>
        </w:rPr>
      </w:pPr>
      <w:r w:rsidRPr="000A5897">
        <w:rPr>
          <w:rFonts w:ascii="David" w:hAnsi="David" w:cs="David" w:hint="cs"/>
          <w:sz w:val="24"/>
          <w:szCs w:val="24"/>
          <w:rtl/>
        </w:rPr>
        <w:t>בנסיב</w:t>
      </w:r>
      <w:r w:rsidR="00D5696F" w:rsidRPr="000A5897">
        <w:rPr>
          <w:rFonts w:ascii="David" w:hAnsi="David" w:cs="David" w:hint="cs"/>
          <w:sz w:val="24"/>
          <w:szCs w:val="24"/>
          <w:rtl/>
        </w:rPr>
        <w:t xml:space="preserve">ות אלה, נשמט גם הבסיס מתחת לטענת כי </w:t>
      </w:r>
      <w:r w:rsidRPr="000A5897">
        <w:rPr>
          <w:rFonts w:ascii="David" w:hAnsi="David" w:cs="David" w:hint="cs"/>
          <w:sz w:val="24"/>
          <w:szCs w:val="24"/>
          <w:rtl/>
        </w:rPr>
        <w:t>לא הי</w:t>
      </w:r>
      <w:r w:rsidR="000A5897">
        <w:rPr>
          <w:rFonts w:ascii="David" w:hAnsi="David" w:cs="David" w:hint="cs"/>
          <w:sz w:val="24"/>
          <w:szCs w:val="24"/>
          <w:rtl/>
        </w:rPr>
        <w:t>י</w:t>
      </w:r>
      <w:r w:rsidRPr="000A5897">
        <w:rPr>
          <w:rFonts w:ascii="David" w:hAnsi="David" w:cs="David" w:hint="cs"/>
          <w:sz w:val="24"/>
          <w:szCs w:val="24"/>
          <w:rtl/>
        </w:rPr>
        <w:t xml:space="preserve">תה יכולת לדעת שכב' הבוררת תתייחס לסוגיה בפסק הבוררת </w:t>
      </w:r>
      <w:r w:rsidR="000A5897">
        <w:rPr>
          <w:rFonts w:ascii="David" w:hAnsi="David" w:cs="David" w:hint="cs"/>
          <w:sz w:val="24"/>
          <w:szCs w:val="24"/>
          <w:rtl/>
        </w:rPr>
        <w:t>,שכן כאמור הטענה עלתה במהלך הבוררות ובסיכומים.</w:t>
      </w:r>
    </w:p>
    <w:p w:rsidR="005D4E8C" w:rsidRPr="00322493" w:rsidRDefault="005D4E8C" w:rsidP="002931B7">
      <w:pPr>
        <w:spacing w:line="360" w:lineRule="auto"/>
        <w:jc w:val="both"/>
        <w:rPr>
          <w:rFonts w:ascii="David" w:hAnsi="David"/>
        </w:rPr>
      </w:pPr>
    </w:p>
    <w:p w:rsidR="00200645" w:rsidRPr="0004554E" w:rsidRDefault="005D4E8C" w:rsidP="002931B7">
      <w:pPr>
        <w:pStyle w:val="af"/>
        <w:numPr>
          <w:ilvl w:val="0"/>
          <w:numId w:val="2"/>
        </w:numPr>
        <w:spacing w:line="360" w:lineRule="auto"/>
        <w:jc w:val="both"/>
        <w:rPr>
          <w:rFonts w:ascii="David" w:hAnsi="David" w:cs="David"/>
          <w:sz w:val="24"/>
          <w:szCs w:val="24"/>
        </w:rPr>
      </w:pPr>
      <w:r w:rsidRPr="006A3A60">
        <w:rPr>
          <w:rFonts w:ascii="David" w:hAnsi="David" w:cs="David" w:hint="cs"/>
          <w:sz w:val="24"/>
          <w:szCs w:val="24"/>
          <w:rtl/>
        </w:rPr>
        <w:t>בפסק הדין של הבוררת, יש התייחסות מפורשת לטענות שני הצדדים בענ</w:t>
      </w:r>
      <w:r w:rsidR="00431D36">
        <w:rPr>
          <w:rFonts w:ascii="David" w:hAnsi="David" w:cs="David" w:hint="cs"/>
          <w:sz w:val="24"/>
          <w:szCs w:val="24"/>
          <w:rtl/>
        </w:rPr>
        <w:t>י</w:t>
      </w:r>
      <w:r w:rsidRPr="006A3A60">
        <w:rPr>
          <w:rFonts w:ascii="David" w:hAnsi="David" w:cs="David" w:hint="cs"/>
          <w:sz w:val="24"/>
          <w:szCs w:val="24"/>
          <w:rtl/>
        </w:rPr>
        <w:t>ין זה לרבות התובעים עצמם, והכר</w:t>
      </w:r>
      <w:r w:rsidR="00A17B8D">
        <w:rPr>
          <w:rFonts w:ascii="David" w:hAnsi="David" w:cs="David" w:hint="cs"/>
          <w:sz w:val="24"/>
          <w:szCs w:val="24"/>
          <w:rtl/>
        </w:rPr>
        <w:t>עה</w:t>
      </w:r>
      <w:r w:rsidR="0004554E">
        <w:rPr>
          <w:rFonts w:ascii="David" w:hAnsi="David" w:cs="David" w:hint="cs"/>
          <w:sz w:val="24"/>
          <w:szCs w:val="24"/>
          <w:rtl/>
        </w:rPr>
        <w:t xml:space="preserve"> </w:t>
      </w:r>
      <w:r w:rsidRPr="0004554E">
        <w:rPr>
          <w:rFonts w:ascii="David" w:hAnsi="David" w:cs="David" w:hint="cs"/>
          <w:sz w:val="24"/>
          <w:szCs w:val="24"/>
          <w:rtl/>
        </w:rPr>
        <w:t>במחלוקת זו.</w:t>
      </w:r>
      <w:r w:rsidR="00200645" w:rsidRPr="0004554E">
        <w:rPr>
          <w:rFonts w:ascii="David" w:hAnsi="David" w:cs="David" w:hint="cs"/>
          <w:sz w:val="24"/>
          <w:szCs w:val="24"/>
          <w:rtl/>
        </w:rPr>
        <w:t xml:space="preserve"> הבוררת ציינה בפסק הבוררות</w:t>
      </w:r>
      <w:r w:rsidR="0004554E">
        <w:rPr>
          <w:rFonts w:ascii="David" w:hAnsi="David" w:cs="David" w:hint="cs"/>
          <w:sz w:val="24"/>
          <w:szCs w:val="24"/>
          <w:rtl/>
        </w:rPr>
        <w:t>:</w:t>
      </w:r>
      <w:r w:rsidR="00200645" w:rsidRPr="0004554E">
        <w:rPr>
          <w:rFonts w:ascii="David" w:hAnsi="David" w:cs="David" w:hint="cs"/>
          <w:sz w:val="24"/>
          <w:szCs w:val="24"/>
          <w:rtl/>
        </w:rPr>
        <w:t>"</w:t>
      </w:r>
      <w:r w:rsidRPr="0004554E">
        <w:rPr>
          <w:rFonts w:ascii="David" w:hAnsi="David" w:cs="David" w:hint="cs"/>
          <w:sz w:val="24"/>
          <w:szCs w:val="24"/>
          <w:rtl/>
        </w:rPr>
        <w:t xml:space="preserve"> </w:t>
      </w:r>
      <w:r w:rsidRPr="0004554E">
        <w:rPr>
          <w:rFonts w:ascii="David" w:hAnsi="David" w:cs="David" w:hint="cs"/>
          <w:b/>
          <w:bCs/>
          <w:sz w:val="24"/>
          <w:szCs w:val="24"/>
          <w:rtl/>
        </w:rPr>
        <w:t>לטענת הנ</w:t>
      </w:r>
      <w:r w:rsidR="00200645" w:rsidRPr="0004554E">
        <w:rPr>
          <w:rFonts w:ascii="David" w:hAnsi="David" w:cs="David" w:hint="cs"/>
          <w:b/>
          <w:bCs/>
          <w:sz w:val="24"/>
          <w:szCs w:val="24"/>
          <w:rtl/>
        </w:rPr>
        <w:t>תבעים</w:t>
      </w:r>
      <w:r w:rsidR="00200645" w:rsidRPr="0004554E">
        <w:rPr>
          <w:rFonts w:ascii="David" w:hAnsi="David" w:cs="David" w:hint="cs"/>
          <w:sz w:val="24"/>
          <w:szCs w:val="24"/>
          <w:rtl/>
        </w:rPr>
        <w:t xml:space="preserve"> </w:t>
      </w:r>
      <w:r w:rsidR="0004554E">
        <w:rPr>
          <w:rFonts w:ascii="David" w:hAnsi="David" w:cs="David" w:hint="cs"/>
          <w:b/>
          <w:bCs/>
          <w:sz w:val="24"/>
          <w:szCs w:val="24"/>
          <w:rtl/>
        </w:rPr>
        <w:t xml:space="preserve">יש לשום את שווי הנכס כתפוס, </w:t>
      </w:r>
      <w:r w:rsidRPr="0004554E">
        <w:rPr>
          <w:rFonts w:ascii="David" w:hAnsi="David" w:cs="David" w:hint="cs"/>
          <w:b/>
          <w:bCs/>
          <w:sz w:val="24"/>
          <w:szCs w:val="24"/>
          <w:rtl/>
        </w:rPr>
        <w:t>על פי סעיף33 לחוק הגנת הדייר-1972 . מנגד עותרים התובעים לדחות טענה זו של הנתבע</w:t>
      </w:r>
      <w:r w:rsidR="0004554E">
        <w:rPr>
          <w:rFonts w:ascii="David" w:hAnsi="David" w:cs="David" w:hint="cs"/>
          <w:b/>
          <w:bCs/>
          <w:sz w:val="24"/>
          <w:szCs w:val="24"/>
          <w:rtl/>
        </w:rPr>
        <w:t>ים. לטענתם, על פי ההלכה הנוהגת,</w:t>
      </w:r>
      <w:r w:rsidRPr="0004554E">
        <w:rPr>
          <w:rFonts w:ascii="David" w:hAnsi="David" w:cs="David" w:hint="cs"/>
          <w:b/>
          <w:bCs/>
          <w:sz w:val="24"/>
          <w:szCs w:val="24"/>
          <w:rtl/>
        </w:rPr>
        <w:t xml:space="preserve"> יש לפרש את סעיף33 לחוק הגנת הדייר בצמצום. החזקת</w:t>
      </w:r>
      <w:r w:rsidR="00E559C4">
        <w:rPr>
          <w:rFonts w:ascii="David" w:hAnsi="David" w:cs="David" w:hint="cs"/>
          <w:b/>
          <w:bCs/>
          <w:sz w:val="24"/>
          <w:szCs w:val="24"/>
          <w:rtl/>
        </w:rPr>
        <w:t>ם ורישומם</w:t>
      </w:r>
      <w:r w:rsidRPr="0004554E">
        <w:rPr>
          <w:rFonts w:ascii="David" w:hAnsi="David" w:cs="David" w:hint="cs"/>
          <w:b/>
          <w:bCs/>
          <w:sz w:val="24"/>
          <w:szCs w:val="24"/>
          <w:rtl/>
        </w:rPr>
        <w:t xml:space="preserve"> של הנתבעים בנכס היא תוצאה של חוסר תום לב ומרמה, תוך הדרת התובעים מלממש את זכותם, לכן אין הם רשאים להסתמך על חוק הגנת הדיר וסעיפיו</w:t>
      </w:r>
      <w:r w:rsidRPr="0004554E">
        <w:rPr>
          <w:rFonts w:ascii="David" w:hAnsi="David" w:cs="David" w:hint="cs"/>
          <w:sz w:val="24"/>
          <w:szCs w:val="24"/>
          <w:rtl/>
        </w:rPr>
        <w:t>."</w:t>
      </w:r>
    </w:p>
    <w:p w:rsidR="00200645" w:rsidRDefault="005D4E8C" w:rsidP="002931B7">
      <w:pPr>
        <w:pStyle w:val="af"/>
        <w:spacing w:line="360" w:lineRule="auto"/>
        <w:ind w:left="360"/>
        <w:jc w:val="both"/>
        <w:rPr>
          <w:rFonts w:ascii="David" w:hAnsi="David" w:cs="David"/>
          <w:b/>
          <w:bCs/>
          <w:sz w:val="24"/>
          <w:szCs w:val="24"/>
          <w:rtl/>
        </w:rPr>
      </w:pPr>
      <w:r w:rsidRPr="00200645">
        <w:rPr>
          <w:rFonts w:ascii="David" w:hAnsi="David" w:cs="David" w:hint="cs"/>
          <w:sz w:val="24"/>
          <w:szCs w:val="24"/>
          <w:rtl/>
        </w:rPr>
        <w:t>כב' הבוררת קבעה כי על סמך חומר הראיות שבפני</w:t>
      </w:r>
      <w:r w:rsidR="00200645">
        <w:rPr>
          <w:rFonts w:ascii="David" w:hAnsi="David" w:cs="David" w:hint="cs"/>
          <w:sz w:val="24"/>
          <w:szCs w:val="24"/>
          <w:rtl/>
        </w:rPr>
        <w:t>ה, יש לשום את הנכס כתפוס. ונימקה את החלטתה, בין היתר, קבעה</w:t>
      </w:r>
      <w:r w:rsidRPr="00200645">
        <w:rPr>
          <w:rFonts w:ascii="David" w:hAnsi="David" w:cs="David" w:hint="cs"/>
          <w:sz w:val="24"/>
          <w:szCs w:val="24"/>
          <w:rtl/>
        </w:rPr>
        <w:t>: "..</w:t>
      </w:r>
      <w:r w:rsidR="00893D05">
        <w:rPr>
          <w:rFonts w:ascii="David" w:hAnsi="David" w:cs="David" w:hint="cs"/>
          <w:b/>
          <w:bCs/>
          <w:sz w:val="24"/>
          <w:szCs w:val="24"/>
          <w:rtl/>
        </w:rPr>
        <w:t>אין חולק כי הנתבע</w:t>
      </w:r>
      <w:r w:rsidRPr="00200645">
        <w:rPr>
          <w:rFonts w:ascii="David" w:hAnsi="David" w:cs="David" w:hint="cs"/>
          <w:b/>
          <w:bCs/>
          <w:sz w:val="24"/>
          <w:szCs w:val="24"/>
          <w:rtl/>
        </w:rPr>
        <w:t xml:space="preserve"> מחזיק בנכס ומתגורר בו י</w:t>
      </w:r>
      <w:r w:rsidR="00893D05">
        <w:rPr>
          <w:rFonts w:ascii="David" w:hAnsi="David" w:cs="David" w:hint="cs"/>
          <w:b/>
          <w:bCs/>
          <w:sz w:val="24"/>
          <w:szCs w:val="24"/>
          <w:rtl/>
        </w:rPr>
        <w:t xml:space="preserve">חד עם משפחתו, אין גם חולק כי הנתבע </w:t>
      </w:r>
      <w:r w:rsidRPr="00200645">
        <w:rPr>
          <w:rFonts w:ascii="David" w:hAnsi="David" w:cs="David" w:hint="cs"/>
          <w:b/>
          <w:bCs/>
          <w:sz w:val="24"/>
          <w:szCs w:val="24"/>
          <w:rtl/>
        </w:rPr>
        <w:t>הוא בעל 25% מהזכויות  כדרישת סעיף33 לחוק הגנת הדייר</w:t>
      </w:r>
      <w:r w:rsidR="0004554E">
        <w:rPr>
          <w:rFonts w:ascii="David" w:hAnsi="David" w:cs="David" w:hint="cs"/>
          <w:b/>
          <w:bCs/>
          <w:sz w:val="24"/>
          <w:szCs w:val="24"/>
          <w:rtl/>
        </w:rPr>
        <w:t>,</w:t>
      </w:r>
      <w:r w:rsidR="00E559C4">
        <w:rPr>
          <w:rFonts w:ascii="David" w:hAnsi="David" w:cs="David" w:hint="cs"/>
          <w:b/>
          <w:bCs/>
          <w:sz w:val="24"/>
          <w:szCs w:val="24"/>
          <w:rtl/>
        </w:rPr>
        <w:t xml:space="preserve"> </w:t>
      </w:r>
      <w:r w:rsidR="0004554E">
        <w:rPr>
          <w:rFonts w:ascii="David" w:hAnsi="David" w:cs="David" w:hint="cs"/>
          <w:b/>
          <w:bCs/>
          <w:sz w:val="24"/>
          <w:szCs w:val="24"/>
          <w:rtl/>
        </w:rPr>
        <w:t>לפיו על המחזיק בנכס להיות אחד הבעלים או החוכרים לדורות.</w:t>
      </w:r>
      <w:r w:rsidR="00E559C4">
        <w:rPr>
          <w:rFonts w:ascii="David" w:hAnsi="David" w:cs="David" w:hint="cs"/>
          <w:b/>
          <w:bCs/>
          <w:sz w:val="24"/>
          <w:szCs w:val="24"/>
          <w:rtl/>
        </w:rPr>
        <w:t xml:space="preserve"> </w:t>
      </w:r>
      <w:r w:rsidRPr="00200645">
        <w:rPr>
          <w:rFonts w:ascii="David" w:hAnsi="David" w:cs="David" w:hint="cs"/>
          <w:b/>
          <w:bCs/>
          <w:sz w:val="24"/>
          <w:szCs w:val="24"/>
          <w:rtl/>
        </w:rPr>
        <w:t>לכן בעניינו כאשר הוחלט על פירוק שיתוף הזכויות בנכס</w:t>
      </w:r>
      <w:r w:rsidR="00893D05">
        <w:rPr>
          <w:rFonts w:ascii="David" w:hAnsi="David" w:cs="David" w:hint="cs"/>
          <w:b/>
          <w:bCs/>
          <w:sz w:val="24"/>
          <w:szCs w:val="24"/>
          <w:rtl/>
        </w:rPr>
        <w:t>, באופן שמביא לפקיעת זכותו של הנתבע</w:t>
      </w:r>
      <w:r w:rsidRPr="00200645">
        <w:rPr>
          <w:rFonts w:ascii="David" w:hAnsi="David" w:cs="David" w:hint="cs"/>
          <w:b/>
          <w:bCs/>
          <w:sz w:val="24"/>
          <w:szCs w:val="24"/>
          <w:rtl/>
        </w:rPr>
        <w:t xml:space="preserve"> למגורים בנכס, אלא אם ישלם </w:t>
      </w:r>
      <w:r w:rsidRPr="00200645">
        <w:rPr>
          <w:rFonts w:ascii="David" w:hAnsi="David" w:cs="David" w:hint="cs"/>
          <w:b/>
          <w:bCs/>
          <w:sz w:val="24"/>
          <w:szCs w:val="24"/>
          <w:rtl/>
        </w:rPr>
        <w:lastRenderedPageBreak/>
        <w:t>לתובעים עבור ז</w:t>
      </w:r>
      <w:r w:rsidR="00893D05">
        <w:rPr>
          <w:rFonts w:ascii="David" w:hAnsi="David" w:cs="David" w:hint="cs"/>
          <w:b/>
          <w:bCs/>
          <w:sz w:val="24"/>
          <w:szCs w:val="24"/>
          <w:rtl/>
        </w:rPr>
        <w:t>כות זו, אך ראוי וצודק לקבוע כי הנתבע</w:t>
      </w:r>
      <w:r w:rsidRPr="00200645">
        <w:rPr>
          <w:rFonts w:ascii="David" w:hAnsi="David" w:cs="David" w:hint="cs"/>
          <w:b/>
          <w:bCs/>
          <w:sz w:val="24"/>
          <w:szCs w:val="24"/>
          <w:rtl/>
        </w:rPr>
        <w:t xml:space="preserve"> ומשפחתו יהפכו לדיירים מוגנים ביחס לזכותם של התובעים אשר תיפדה, שהינם בגדר "בעל</w:t>
      </w:r>
      <w:r w:rsidR="0004554E">
        <w:rPr>
          <w:rFonts w:ascii="David" w:hAnsi="David" w:cs="David" w:hint="cs"/>
          <w:b/>
          <w:bCs/>
          <w:sz w:val="24"/>
          <w:szCs w:val="24"/>
          <w:rtl/>
        </w:rPr>
        <w:t>ו</w:t>
      </w:r>
      <w:r w:rsidRPr="00200645">
        <w:rPr>
          <w:rFonts w:ascii="David" w:hAnsi="David" w:cs="David" w:hint="cs"/>
          <w:b/>
          <w:bCs/>
          <w:sz w:val="24"/>
          <w:szCs w:val="24"/>
          <w:rtl/>
        </w:rPr>
        <w:t xml:space="preserve"> החדש של הנכס".</w:t>
      </w:r>
    </w:p>
    <w:p w:rsidR="005D4E8C" w:rsidRPr="00200645" w:rsidRDefault="005D4E8C" w:rsidP="002931B7">
      <w:pPr>
        <w:pStyle w:val="af"/>
        <w:spacing w:line="360" w:lineRule="auto"/>
        <w:ind w:left="360"/>
        <w:jc w:val="both"/>
        <w:rPr>
          <w:rFonts w:ascii="David" w:hAnsi="David" w:cs="David"/>
          <w:sz w:val="24"/>
          <w:szCs w:val="24"/>
          <w:rtl/>
        </w:rPr>
      </w:pPr>
      <w:r w:rsidRPr="00200645">
        <w:rPr>
          <w:rFonts w:ascii="David" w:hAnsi="David" w:cs="David" w:hint="cs"/>
          <w:b/>
          <w:bCs/>
          <w:sz w:val="24"/>
          <w:szCs w:val="24"/>
          <w:rtl/>
        </w:rPr>
        <w:t>אשר על כן אני קובעת כי יש לש</w:t>
      </w:r>
      <w:r w:rsidR="0004554E">
        <w:rPr>
          <w:rFonts w:ascii="David" w:hAnsi="David" w:cs="David" w:hint="cs"/>
          <w:b/>
          <w:bCs/>
          <w:sz w:val="24"/>
          <w:szCs w:val="24"/>
          <w:rtl/>
        </w:rPr>
        <w:t>ום את שווי הנכס כתפוס לשנת 2016...."</w:t>
      </w:r>
    </w:p>
    <w:p w:rsidR="005D4E8C" w:rsidRPr="006A3A60" w:rsidRDefault="005D4E8C" w:rsidP="002931B7">
      <w:pPr>
        <w:pStyle w:val="af"/>
        <w:spacing w:line="360" w:lineRule="auto"/>
        <w:jc w:val="both"/>
        <w:rPr>
          <w:rFonts w:ascii="David" w:hAnsi="David" w:cs="David"/>
          <w:b/>
          <w:bCs/>
          <w:sz w:val="24"/>
          <w:szCs w:val="24"/>
          <w:rtl/>
        </w:rPr>
      </w:pPr>
    </w:p>
    <w:p w:rsidR="005D4E8C" w:rsidRDefault="005D4E8C" w:rsidP="002931B7">
      <w:pPr>
        <w:pStyle w:val="af"/>
        <w:numPr>
          <w:ilvl w:val="0"/>
          <w:numId w:val="2"/>
        </w:numPr>
        <w:spacing w:line="360" w:lineRule="auto"/>
        <w:jc w:val="both"/>
        <w:rPr>
          <w:rFonts w:ascii="David" w:hAnsi="David" w:cs="David"/>
          <w:sz w:val="24"/>
          <w:szCs w:val="24"/>
        </w:rPr>
      </w:pPr>
      <w:r w:rsidRPr="006A3A60">
        <w:rPr>
          <w:rFonts w:ascii="David" w:hAnsi="David" w:cs="David" w:hint="cs"/>
          <w:sz w:val="24"/>
          <w:szCs w:val="24"/>
          <w:rtl/>
        </w:rPr>
        <w:t>בנסיבות אלה, ניכר כי שאלת היות הנכס נכס תפוס אם לאו, היוותה פלוגתא בהליך הבוררות ושני הצדדים לרבות התובעים העלו טענותיהם בעני</w:t>
      </w:r>
      <w:r w:rsidR="00200645">
        <w:rPr>
          <w:rFonts w:ascii="David" w:hAnsi="David" w:cs="David" w:hint="cs"/>
          <w:sz w:val="24"/>
          <w:szCs w:val="24"/>
          <w:rtl/>
        </w:rPr>
        <w:t>י</w:t>
      </w:r>
      <w:r w:rsidRPr="006A3A60">
        <w:rPr>
          <w:rFonts w:ascii="David" w:hAnsi="David" w:cs="David" w:hint="cs"/>
          <w:sz w:val="24"/>
          <w:szCs w:val="24"/>
          <w:rtl/>
        </w:rPr>
        <w:t xml:space="preserve">ן זה, ועל סמך זה הכריעה הבוררות בפסק הדין בפלוגתא זו. </w:t>
      </w:r>
      <w:r w:rsidR="00200645" w:rsidRPr="00200645">
        <w:rPr>
          <w:rFonts w:ascii="David" w:hAnsi="David" w:cs="David"/>
          <w:sz w:val="24"/>
          <w:szCs w:val="24"/>
          <w:rtl/>
        </w:rPr>
        <w:t>התובעים לא עמדו בזמן אמת, במסגרת הליך הבוררות, על טענותיהם בעני</w:t>
      </w:r>
      <w:r w:rsidR="00F90D42">
        <w:rPr>
          <w:rFonts w:ascii="David" w:hAnsi="David" w:cs="David" w:hint="cs"/>
          <w:sz w:val="24"/>
          <w:szCs w:val="24"/>
          <w:rtl/>
        </w:rPr>
        <w:t>י</w:t>
      </w:r>
      <w:r w:rsidR="00200645" w:rsidRPr="00200645">
        <w:rPr>
          <w:rFonts w:ascii="David" w:hAnsi="David" w:cs="David"/>
          <w:sz w:val="24"/>
          <w:szCs w:val="24"/>
          <w:rtl/>
        </w:rPr>
        <w:t>ן חרי</w:t>
      </w:r>
      <w:r w:rsidR="00200645">
        <w:rPr>
          <w:rFonts w:ascii="David" w:hAnsi="David" w:cs="David"/>
          <w:sz w:val="24"/>
          <w:szCs w:val="24"/>
          <w:rtl/>
        </w:rPr>
        <w:t xml:space="preserve">גה מסמכות, והעלו טענה זו </w:t>
      </w:r>
      <w:r w:rsidR="00200645">
        <w:rPr>
          <w:rFonts w:ascii="David" w:hAnsi="David" w:cs="David" w:hint="cs"/>
          <w:sz w:val="24"/>
          <w:szCs w:val="24"/>
          <w:rtl/>
        </w:rPr>
        <w:t>רק לאחר מתן פסק הבורר</w:t>
      </w:r>
      <w:r w:rsidR="00F90D42">
        <w:rPr>
          <w:rFonts w:ascii="David" w:hAnsi="David" w:cs="David" w:hint="cs"/>
          <w:sz w:val="24"/>
          <w:szCs w:val="24"/>
          <w:rtl/>
        </w:rPr>
        <w:t>,</w:t>
      </w:r>
      <w:r w:rsidR="00200645">
        <w:rPr>
          <w:rFonts w:ascii="David" w:hAnsi="David" w:cs="David" w:hint="cs"/>
          <w:sz w:val="24"/>
          <w:szCs w:val="24"/>
          <w:rtl/>
        </w:rPr>
        <w:t xml:space="preserve"> ועת לא השלימו עם  </w:t>
      </w:r>
      <w:r w:rsidR="006E66DA">
        <w:rPr>
          <w:rFonts w:ascii="David" w:hAnsi="David" w:cs="David" w:hint="cs"/>
          <w:sz w:val="24"/>
          <w:szCs w:val="24"/>
          <w:rtl/>
        </w:rPr>
        <w:t>התוצאה.</w:t>
      </w:r>
    </w:p>
    <w:p w:rsidR="006E66DA" w:rsidRDefault="006E66DA" w:rsidP="002931B7">
      <w:pPr>
        <w:pStyle w:val="af"/>
        <w:spacing w:line="360" w:lineRule="auto"/>
        <w:ind w:left="360"/>
        <w:jc w:val="both"/>
        <w:rPr>
          <w:rFonts w:ascii="David" w:hAnsi="David" w:cs="David"/>
          <w:sz w:val="24"/>
          <w:szCs w:val="24"/>
        </w:rPr>
      </w:pPr>
    </w:p>
    <w:p w:rsidR="00D24782" w:rsidRDefault="006E66DA" w:rsidP="002931B7">
      <w:pPr>
        <w:pStyle w:val="af"/>
        <w:numPr>
          <w:ilvl w:val="0"/>
          <w:numId w:val="2"/>
        </w:numPr>
        <w:spacing w:line="360" w:lineRule="auto"/>
        <w:jc w:val="both"/>
        <w:rPr>
          <w:rFonts w:ascii="David" w:hAnsi="David" w:cs="David"/>
          <w:sz w:val="24"/>
          <w:szCs w:val="24"/>
        </w:rPr>
      </w:pPr>
      <w:r w:rsidRPr="006E66DA">
        <w:rPr>
          <w:rFonts w:ascii="David" w:hAnsi="David" w:cs="David" w:hint="cs"/>
          <w:sz w:val="24"/>
          <w:szCs w:val="24"/>
          <w:rtl/>
        </w:rPr>
        <w:t>התובעים העלו הרבה טענות כי הבוררת</w:t>
      </w:r>
      <w:r w:rsidR="005D4E8C" w:rsidRPr="006E66DA">
        <w:rPr>
          <w:rFonts w:ascii="David" w:hAnsi="David" w:cs="David" w:hint="cs"/>
          <w:sz w:val="24"/>
          <w:szCs w:val="24"/>
          <w:rtl/>
        </w:rPr>
        <w:t xml:space="preserve"> שגתה בפרשנות החוק והפסיקה, שגתה בפירוש המושג נכס תפוס, כשלטענתם יש לפרש את סעיף33 לחוק הגנת הדייר בצמצום. </w:t>
      </w:r>
    </w:p>
    <w:p w:rsidR="005D4E8C" w:rsidRDefault="006E66DA" w:rsidP="002931B7">
      <w:pPr>
        <w:pStyle w:val="af"/>
        <w:spacing w:line="360" w:lineRule="auto"/>
        <w:ind w:left="360"/>
        <w:jc w:val="both"/>
        <w:rPr>
          <w:rFonts w:ascii="David" w:hAnsi="David" w:cs="David"/>
          <w:sz w:val="24"/>
          <w:szCs w:val="24"/>
          <w:rtl/>
        </w:rPr>
      </w:pPr>
      <w:r w:rsidRPr="00D24782">
        <w:rPr>
          <w:rFonts w:ascii="David" w:hAnsi="David" w:cs="David"/>
          <w:sz w:val="24"/>
          <w:szCs w:val="24"/>
          <w:rtl/>
        </w:rPr>
        <w:t>אין מקום ל</w:t>
      </w:r>
      <w:r w:rsidRPr="00D24782">
        <w:rPr>
          <w:rFonts w:ascii="David" w:hAnsi="David" w:cs="David" w:hint="cs"/>
          <w:sz w:val="24"/>
          <w:szCs w:val="24"/>
          <w:rtl/>
        </w:rPr>
        <w:t xml:space="preserve">הידרש לטענה </w:t>
      </w:r>
      <w:r w:rsidR="005D4E8C" w:rsidRPr="00D24782">
        <w:rPr>
          <w:rFonts w:ascii="David" w:hAnsi="David" w:cs="David"/>
          <w:sz w:val="24"/>
          <w:szCs w:val="24"/>
          <w:rtl/>
        </w:rPr>
        <w:t xml:space="preserve"> זו של התובעים ואין לדון מחדש בשאלת היות הנכס תפוס אם </w:t>
      </w:r>
      <w:r w:rsidR="00F90D42">
        <w:rPr>
          <w:rFonts w:ascii="David" w:hAnsi="David" w:cs="David"/>
          <w:sz w:val="24"/>
          <w:szCs w:val="24"/>
          <w:rtl/>
        </w:rPr>
        <w:t>לאו. גם אם טעתה הבוררת בפרשנות</w:t>
      </w:r>
      <w:r w:rsidR="00F90D42">
        <w:rPr>
          <w:rFonts w:ascii="David" w:hAnsi="David" w:cs="David" w:hint="cs"/>
          <w:sz w:val="24"/>
          <w:szCs w:val="24"/>
          <w:rtl/>
        </w:rPr>
        <w:t xml:space="preserve">, </w:t>
      </w:r>
      <w:r w:rsidR="005D4E8C" w:rsidRPr="00D24782">
        <w:rPr>
          <w:rFonts w:ascii="David" w:hAnsi="David" w:cs="David"/>
          <w:sz w:val="24"/>
          <w:szCs w:val="24"/>
          <w:rtl/>
        </w:rPr>
        <w:t>אין בכך עילה לביטול פסק בוררת.</w:t>
      </w:r>
      <w:r w:rsidR="00432471">
        <w:rPr>
          <w:rFonts w:ascii="David" w:hAnsi="David" w:cs="David"/>
          <w:sz w:val="24"/>
          <w:szCs w:val="24"/>
          <w:rtl/>
        </w:rPr>
        <w:t xml:space="preserve"> מדובר, אם בכלל ,בטענות ערעור</w:t>
      </w:r>
      <w:r w:rsidR="005D4E8C" w:rsidRPr="00D24782">
        <w:rPr>
          <w:rFonts w:ascii="David" w:hAnsi="David" w:cs="David"/>
          <w:sz w:val="24"/>
          <w:szCs w:val="24"/>
          <w:rtl/>
        </w:rPr>
        <w:t xml:space="preserve"> שאין מקום להידרש להן במסגרת בקשה לביטול פסק בורר. הדברים נכונים גם בשים לב לכך שכב' הבוררת הופטרה מכפיפות לדין המהותי. </w:t>
      </w:r>
    </w:p>
    <w:p w:rsidR="00F90D42" w:rsidRDefault="00F90D42" w:rsidP="002931B7">
      <w:pPr>
        <w:pStyle w:val="af"/>
        <w:spacing w:line="360" w:lineRule="auto"/>
        <w:ind w:left="360"/>
        <w:jc w:val="both"/>
        <w:rPr>
          <w:rFonts w:ascii="David" w:hAnsi="David" w:cs="David"/>
          <w:sz w:val="24"/>
          <w:szCs w:val="24"/>
          <w:rtl/>
        </w:rPr>
      </w:pPr>
      <w:r>
        <w:rPr>
          <w:rFonts w:ascii="David" w:hAnsi="David" w:cs="David" w:hint="cs"/>
          <w:sz w:val="24"/>
          <w:szCs w:val="24"/>
          <w:rtl/>
        </w:rPr>
        <w:t>ב</w:t>
      </w:r>
      <w:r w:rsidRPr="00F90D42">
        <w:rPr>
          <w:rFonts w:ascii="David" w:hAnsi="David" w:cs="David"/>
          <w:sz w:val="24"/>
          <w:szCs w:val="24"/>
          <w:rtl/>
        </w:rPr>
        <w:t>רע"א 8941/06 עיריית חיפה נ' ב.מ. כ</w:t>
      </w:r>
      <w:r>
        <w:rPr>
          <w:rFonts w:ascii="David" w:hAnsi="David" w:cs="David"/>
          <w:sz w:val="24"/>
          <w:szCs w:val="24"/>
          <w:rtl/>
        </w:rPr>
        <w:t xml:space="preserve">רפיס דדו בע"מ </w:t>
      </w:r>
      <w:r>
        <w:rPr>
          <w:rFonts w:ascii="David" w:hAnsi="David" w:cs="David" w:hint="cs"/>
          <w:sz w:val="24"/>
          <w:szCs w:val="24"/>
          <w:rtl/>
        </w:rPr>
        <w:t>נקבע:</w:t>
      </w:r>
    </w:p>
    <w:p w:rsidR="005D4E8C" w:rsidRDefault="00F90D42" w:rsidP="002931B7">
      <w:pPr>
        <w:pStyle w:val="af"/>
        <w:spacing w:line="360" w:lineRule="auto"/>
        <w:ind w:left="360"/>
        <w:jc w:val="both"/>
        <w:rPr>
          <w:rFonts w:ascii="David" w:hAnsi="David" w:cs="David"/>
          <w:b/>
          <w:bCs/>
          <w:sz w:val="24"/>
          <w:szCs w:val="24"/>
          <w:rtl/>
        </w:rPr>
      </w:pPr>
      <w:r w:rsidRPr="00E559C4">
        <w:rPr>
          <w:rFonts w:ascii="David" w:hAnsi="David" w:cs="David" w:hint="cs"/>
          <w:b/>
          <w:bCs/>
          <w:sz w:val="24"/>
          <w:szCs w:val="24"/>
          <w:rtl/>
        </w:rPr>
        <w:t>"</w:t>
      </w:r>
      <w:r w:rsidRPr="00E559C4">
        <w:rPr>
          <w:rFonts w:ascii="David" w:hAnsi="David" w:cs="David"/>
          <w:b/>
          <w:bCs/>
          <w:sz w:val="24"/>
          <w:szCs w:val="24"/>
          <w:rtl/>
        </w:rPr>
        <w:t>בתחום הבוררות, תופעות של חריגה מסמכות בורר, או פעולת בורר ללא סמכות אינן כוללות בחובן טעות בפסק הבורר, בין טעות עובדתית, ובין טעות משפטית.</w:t>
      </w:r>
      <w:r w:rsidRPr="00E559C4">
        <w:rPr>
          <w:rFonts w:ascii="David" w:hAnsi="David" w:cs="David" w:hint="cs"/>
          <w:b/>
          <w:bCs/>
          <w:sz w:val="24"/>
          <w:szCs w:val="24"/>
          <w:rtl/>
        </w:rPr>
        <w:t>....</w:t>
      </w:r>
      <w:r w:rsidRPr="00E559C4">
        <w:rPr>
          <w:b/>
          <w:bCs/>
          <w:rtl/>
        </w:rPr>
        <w:t xml:space="preserve"> </w:t>
      </w:r>
      <w:r w:rsidRPr="00E559C4">
        <w:rPr>
          <w:rFonts w:ascii="David" w:hAnsi="David" w:cs="David"/>
          <w:b/>
          <w:bCs/>
          <w:sz w:val="24"/>
          <w:szCs w:val="24"/>
          <w:rtl/>
        </w:rPr>
        <w:t>טעות בפירוש הדין המהותי וביישומו הלכה למעשה אינה מקימה עילה לביטול הפסק גם כאשר הבורר חייב על-פי הסכם הבוררות לפסוק על-פי הדין המהותי</w:t>
      </w:r>
      <w:r w:rsidRPr="00E559C4">
        <w:rPr>
          <w:rFonts w:ascii="David" w:hAnsi="David" w:cs="David" w:hint="cs"/>
          <w:b/>
          <w:bCs/>
          <w:sz w:val="24"/>
          <w:szCs w:val="24"/>
          <w:rtl/>
        </w:rPr>
        <w:t>..</w:t>
      </w:r>
      <w:r w:rsidR="00E559C4">
        <w:rPr>
          <w:rFonts w:ascii="David" w:hAnsi="David" w:cs="David" w:hint="cs"/>
          <w:b/>
          <w:bCs/>
          <w:sz w:val="24"/>
          <w:szCs w:val="24"/>
          <w:rtl/>
        </w:rPr>
        <w:t>".</w:t>
      </w:r>
    </w:p>
    <w:p w:rsidR="00E559C4" w:rsidRPr="00E559C4" w:rsidRDefault="00E559C4" w:rsidP="002931B7">
      <w:pPr>
        <w:pStyle w:val="af"/>
        <w:spacing w:line="360" w:lineRule="auto"/>
        <w:ind w:left="360"/>
        <w:jc w:val="both"/>
        <w:rPr>
          <w:rFonts w:ascii="David" w:hAnsi="David" w:cs="David"/>
          <w:b/>
          <w:bCs/>
          <w:sz w:val="24"/>
          <w:szCs w:val="24"/>
        </w:rPr>
      </w:pPr>
    </w:p>
    <w:p w:rsidR="005D4E8C" w:rsidRDefault="00893D05" w:rsidP="002931B7">
      <w:pPr>
        <w:pStyle w:val="af"/>
        <w:numPr>
          <w:ilvl w:val="0"/>
          <w:numId w:val="2"/>
        </w:numPr>
        <w:spacing w:line="360" w:lineRule="auto"/>
        <w:jc w:val="both"/>
        <w:rPr>
          <w:rFonts w:ascii="David" w:hAnsi="David" w:cs="David"/>
          <w:b/>
          <w:bCs/>
          <w:sz w:val="24"/>
          <w:szCs w:val="24"/>
        </w:rPr>
      </w:pPr>
      <w:r>
        <w:rPr>
          <w:rFonts w:ascii="David" w:hAnsi="David" w:cs="David" w:hint="cs"/>
          <w:sz w:val="24"/>
          <w:szCs w:val="24"/>
          <w:rtl/>
        </w:rPr>
        <w:t>בנסיבות אלה, אני קובעת</w:t>
      </w:r>
      <w:r w:rsidR="005D4E8C" w:rsidRPr="006A3A60">
        <w:rPr>
          <w:rFonts w:ascii="David" w:hAnsi="David" w:cs="David" w:hint="cs"/>
          <w:sz w:val="24"/>
          <w:szCs w:val="24"/>
          <w:rtl/>
        </w:rPr>
        <w:t xml:space="preserve"> כי התובעים לא הוכיחו שכב' הבוררת חרגה מסמכותה כשקבעה במסגרת </w:t>
      </w:r>
      <w:r w:rsidR="00D24782">
        <w:rPr>
          <w:rFonts w:ascii="David" w:hAnsi="David" w:cs="David" w:hint="cs"/>
          <w:sz w:val="24"/>
          <w:szCs w:val="24"/>
          <w:rtl/>
        </w:rPr>
        <w:t>ה</w:t>
      </w:r>
      <w:r w:rsidR="005D4E8C" w:rsidRPr="006A3A60">
        <w:rPr>
          <w:rFonts w:ascii="David" w:hAnsi="David" w:cs="David" w:hint="cs"/>
          <w:sz w:val="24"/>
          <w:szCs w:val="24"/>
          <w:rtl/>
        </w:rPr>
        <w:t>תביעה לפירוק שיתוף, שיש לשום את שווי הנכס כתפוס.</w:t>
      </w:r>
      <w:r w:rsidR="005D4E8C" w:rsidRPr="006A3A60">
        <w:rPr>
          <w:rFonts w:ascii="David" w:hAnsi="David" w:cs="David" w:hint="cs"/>
          <w:b/>
          <w:bCs/>
          <w:sz w:val="24"/>
          <w:szCs w:val="24"/>
          <w:rtl/>
        </w:rPr>
        <w:t xml:space="preserve"> </w:t>
      </w:r>
    </w:p>
    <w:p w:rsidR="00130E6D" w:rsidRPr="00E559C4" w:rsidRDefault="00130E6D" w:rsidP="002931B7">
      <w:pPr>
        <w:spacing w:line="360" w:lineRule="auto"/>
        <w:jc w:val="both"/>
        <w:rPr>
          <w:rFonts w:ascii="David" w:hAnsi="David"/>
          <w:u w:val="single"/>
        </w:rPr>
      </w:pPr>
      <w:r w:rsidRPr="00E559C4">
        <w:rPr>
          <w:rFonts w:ascii="David" w:hAnsi="David"/>
          <w:u w:val="single"/>
          <w:rtl/>
        </w:rPr>
        <w:t>הבוררת חרגה מסמכותה עת הכריעה בתביעה לביטול הרישום-</w:t>
      </w:r>
    </w:p>
    <w:p w:rsidR="00130E6D" w:rsidRDefault="00130E6D" w:rsidP="002931B7">
      <w:pPr>
        <w:pStyle w:val="af"/>
        <w:numPr>
          <w:ilvl w:val="0"/>
          <w:numId w:val="2"/>
        </w:numPr>
        <w:spacing w:line="360" w:lineRule="auto"/>
        <w:jc w:val="both"/>
        <w:rPr>
          <w:rFonts w:ascii="David" w:hAnsi="David" w:cs="David"/>
          <w:sz w:val="24"/>
          <w:szCs w:val="24"/>
        </w:rPr>
      </w:pPr>
      <w:r w:rsidRPr="00130E6D">
        <w:rPr>
          <w:rFonts w:ascii="David" w:hAnsi="David" w:cs="David"/>
          <w:sz w:val="24"/>
          <w:szCs w:val="24"/>
          <w:rtl/>
        </w:rPr>
        <w:t>לשיטת התובעים, בי</w:t>
      </w:r>
      <w:r w:rsidR="00432471">
        <w:rPr>
          <w:rFonts w:ascii="David" w:hAnsi="David" w:cs="David"/>
          <w:sz w:val="24"/>
          <w:szCs w:val="24"/>
          <w:rtl/>
        </w:rPr>
        <w:t xml:space="preserve">שיבה 13/12/18 ,הבוררת חלקה  את </w:t>
      </w:r>
      <w:r w:rsidRPr="00130E6D">
        <w:rPr>
          <w:rFonts w:ascii="David" w:hAnsi="David" w:cs="David"/>
          <w:sz w:val="24"/>
          <w:szCs w:val="24"/>
          <w:rtl/>
        </w:rPr>
        <w:t xml:space="preserve">דיון </w:t>
      </w:r>
      <w:r w:rsidR="000C263E">
        <w:rPr>
          <w:rFonts w:ascii="David" w:hAnsi="David" w:cs="David" w:hint="cs"/>
          <w:sz w:val="24"/>
          <w:szCs w:val="24"/>
          <w:rtl/>
        </w:rPr>
        <w:t xml:space="preserve">הבוררות </w:t>
      </w:r>
      <w:r w:rsidRPr="00130E6D">
        <w:rPr>
          <w:rFonts w:ascii="David" w:hAnsi="David" w:cs="David"/>
          <w:sz w:val="24"/>
          <w:szCs w:val="24"/>
          <w:rtl/>
        </w:rPr>
        <w:t xml:space="preserve"> </w:t>
      </w:r>
      <w:r w:rsidR="000C263E">
        <w:rPr>
          <w:rFonts w:ascii="David" w:hAnsi="David" w:cs="David"/>
          <w:sz w:val="24"/>
          <w:szCs w:val="24"/>
          <w:rtl/>
        </w:rPr>
        <w:t xml:space="preserve">לשניים-שלב ראשון- בו תדון </w:t>
      </w:r>
      <w:r w:rsidR="000C263E">
        <w:rPr>
          <w:rFonts w:ascii="David" w:hAnsi="David" w:cs="David" w:hint="cs"/>
          <w:sz w:val="24"/>
          <w:szCs w:val="24"/>
          <w:rtl/>
        </w:rPr>
        <w:t>התביעה ל</w:t>
      </w:r>
      <w:r w:rsidRPr="00130E6D">
        <w:rPr>
          <w:rFonts w:ascii="David" w:hAnsi="David" w:cs="David"/>
          <w:sz w:val="24"/>
          <w:szCs w:val="24"/>
          <w:rtl/>
        </w:rPr>
        <w:t>פירוק שיתוף ו</w:t>
      </w:r>
      <w:r w:rsidR="000C263E">
        <w:rPr>
          <w:rFonts w:ascii="David" w:hAnsi="David" w:cs="David" w:hint="cs"/>
          <w:sz w:val="24"/>
          <w:szCs w:val="24"/>
          <w:rtl/>
        </w:rPr>
        <w:t>ה</w:t>
      </w:r>
      <w:r w:rsidR="000C263E">
        <w:rPr>
          <w:rFonts w:ascii="David" w:hAnsi="David" w:cs="David"/>
          <w:sz w:val="24"/>
          <w:szCs w:val="24"/>
          <w:rtl/>
        </w:rPr>
        <w:t>תביע</w:t>
      </w:r>
      <w:r w:rsidR="000C263E">
        <w:rPr>
          <w:rFonts w:ascii="David" w:hAnsi="David" w:cs="David" w:hint="cs"/>
          <w:sz w:val="24"/>
          <w:szCs w:val="24"/>
          <w:rtl/>
        </w:rPr>
        <w:t>ה</w:t>
      </w:r>
      <w:r w:rsidRPr="00130E6D">
        <w:rPr>
          <w:rFonts w:ascii="David" w:hAnsi="David" w:cs="David"/>
          <w:sz w:val="24"/>
          <w:szCs w:val="24"/>
          <w:rtl/>
        </w:rPr>
        <w:t xml:space="preserve"> </w:t>
      </w:r>
      <w:r w:rsidR="000C263E">
        <w:rPr>
          <w:rFonts w:ascii="David" w:hAnsi="David" w:cs="David" w:hint="cs"/>
          <w:sz w:val="24"/>
          <w:szCs w:val="24"/>
          <w:rtl/>
        </w:rPr>
        <w:t>ל</w:t>
      </w:r>
      <w:r w:rsidRPr="00130E6D">
        <w:rPr>
          <w:rFonts w:ascii="David" w:hAnsi="David" w:cs="David"/>
          <w:sz w:val="24"/>
          <w:szCs w:val="24"/>
          <w:rtl/>
        </w:rPr>
        <w:t>דמי שימוש.</w:t>
      </w:r>
      <w:r w:rsidR="000C263E">
        <w:rPr>
          <w:rFonts w:ascii="David" w:hAnsi="David" w:cs="David" w:hint="cs"/>
          <w:sz w:val="24"/>
          <w:szCs w:val="24"/>
          <w:rtl/>
        </w:rPr>
        <w:t xml:space="preserve"> </w:t>
      </w:r>
      <w:r w:rsidRPr="00130E6D">
        <w:rPr>
          <w:rFonts w:ascii="David" w:hAnsi="David" w:cs="David"/>
          <w:sz w:val="24"/>
          <w:szCs w:val="24"/>
          <w:rtl/>
        </w:rPr>
        <w:t xml:space="preserve">דיון שהסתיים. ושלב שני –בו תידון </w:t>
      </w:r>
      <w:r w:rsidR="000C263E">
        <w:rPr>
          <w:rFonts w:ascii="David" w:hAnsi="David" w:cs="David" w:hint="cs"/>
          <w:sz w:val="24"/>
          <w:szCs w:val="24"/>
          <w:rtl/>
        </w:rPr>
        <w:t>ה</w:t>
      </w:r>
      <w:r w:rsidRPr="00130E6D">
        <w:rPr>
          <w:rFonts w:ascii="David" w:hAnsi="David" w:cs="David"/>
          <w:sz w:val="24"/>
          <w:szCs w:val="24"/>
          <w:rtl/>
        </w:rPr>
        <w:t>תביעה לביטול ריש</w:t>
      </w:r>
      <w:r w:rsidR="000C263E">
        <w:rPr>
          <w:rFonts w:ascii="David" w:hAnsi="David" w:cs="David"/>
          <w:sz w:val="24"/>
          <w:szCs w:val="24"/>
          <w:rtl/>
        </w:rPr>
        <w:t xml:space="preserve">ום במרמה ויתר התביעות </w:t>
      </w:r>
      <w:r w:rsidRPr="00130E6D">
        <w:rPr>
          <w:rFonts w:ascii="David" w:hAnsi="David" w:cs="David"/>
          <w:sz w:val="24"/>
          <w:szCs w:val="24"/>
          <w:rtl/>
        </w:rPr>
        <w:t>; עם זאת, הבוררת הכריעה בתביע</w:t>
      </w:r>
      <w:r w:rsidR="00E559C4">
        <w:rPr>
          <w:rFonts w:ascii="David" w:hAnsi="David" w:cs="David"/>
          <w:sz w:val="24"/>
          <w:szCs w:val="24"/>
          <w:rtl/>
        </w:rPr>
        <w:t xml:space="preserve">ה לביטול הרישום, שלא עמדה </w:t>
      </w:r>
      <w:r w:rsidRPr="00130E6D">
        <w:rPr>
          <w:rFonts w:ascii="David" w:hAnsi="David" w:cs="David"/>
          <w:sz w:val="24"/>
          <w:szCs w:val="24"/>
          <w:rtl/>
        </w:rPr>
        <w:t>לדיון</w:t>
      </w:r>
      <w:r w:rsidR="00E559C4">
        <w:rPr>
          <w:rFonts w:ascii="David" w:hAnsi="David" w:cs="David" w:hint="cs"/>
          <w:sz w:val="24"/>
          <w:szCs w:val="24"/>
          <w:rtl/>
        </w:rPr>
        <w:t xml:space="preserve"> בפניה </w:t>
      </w:r>
      <w:r w:rsidRPr="00130E6D">
        <w:rPr>
          <w:rFonts w:ascii="David" w:hAnsi="David" w:cs="David"/>
          <w:sz w:val="24"/>
          <w:szCs w:val="24"/>
          <w:rtl/>
        </w:rPr>
        <w:t>ולא נדונה כלל, מבלי שנתנה להם-וגם לנתבעים-להשמיע טענותיהם בענ</w:t>
      </w:r>
      <w:r w:rsidR="000C263E">
        <w:rPr>
          <w:rFonts w:ascii="David" w:hAnsi="David" w:cs="David" w:hint="cs"/>
          <w:sz w:val="24"/>
          <w:szCs w:val="24"/>
          <w:rtl/>
        </w:rPr>
        <w:t>י</w:t>
      </w:r>
      <w:r w:rsidRPr="00130E6D">
        <w:rPr>
          <w:rFonts w:ascii="David" w:hAnsi="David" w:cs="David"/>
          <w:sz w:val="24"/>
          <w:szCs w:val="24"/>
          <w:rtl/>
        </w:rPr>
        <w:t>ין,</w:t>
      </w:r>
      <w:r w:rsidR="00893D05">
        <w:rPr>
          <w:rFonts w:ascii="David" w:hAnsi="David" w:cs="David" w:hint="cs"/>
          <w:sz w:val="24"/>
          <w:szCs w:val="24"/>
          <w:rtl/>
        </w:rPr>
        <w:t xml:space="preserve"> </w:t>
      </w:r>
      <w:r w:rsidR="008A69C6">
        <w:rPr>
          <w:rFonts w:ascii="David" w:hAnsi="David" w:cs="David" w:hint="cs"/>
          <w:sz w:val="24"/>
          <w:szCs w:val="24"/>
          <w:rtl/>
        </w:rPr>
        <w:t>בניגוד לסעיף 24(4),</w:t>
      </w:r>
      <w:r w:rsidRPr="00130E6D">
        <w:rPr>
          <w:rFonts w:ascii="David" w:hAnsi="David" w:cs="David"/>
          <w:sz w:val="24"/>
          <w:szCs w:val="24"/>
          <w:rtl/>
        </w:rPr>
        <w:t xml:space="preserve"> </w:t>
      </w:r>
      <w:r w:rsidR="000C263E">
        <w:rPr>
          <w:rFonts w:ascii="David" w:hAnsi="David" w:cs="David" w:hint="cs"/>
          <w:sz w:val="24"/>
          <w:szCs w:val="24"/>
          <w:rtl/>
        </w:rPr>
        <w:t>והדבר נעשה תוך חריגה מסמכותה.</w:t>
      </w:r>
    </w:p>
    <w:p w:rsidR="00B876B8" w:rsidRDefault="00B876B8" w:rsidP="002931B7">
      <w:pPr>
        <w:pStyle w:val="af"/>
        <w:spacing w:line="360" w:lineRule="auto"/>
        <w:ind w:left="360"/>
        <w:jc w:val="both"/>
        <w:rPr>
          <w:rFonts w:ascii="David" w:hAnsi="David" w:cs="David"/>
          <w:sz w:val="24"/>
          <w:szCs w:val="24"/>
        </w:rPr>
      </w:pPr>
    </w:p>
    <w:p w:rsidR="00B876B8" w:rsidRPr="00130E6D" w:rsidRDefault="00B876B8"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מנגד</w:t>
      </w:r>
      <w:r w:rsidR="00E559C4">
        <w:rPr>
          <w:rFonts w:ascii="David" w:hAnsi="David" w:cs="David" w:hint="cs"/>
          <w:sz w:val="24"/>
          <w:szCs w:val="24"/>
          <w:rtl/>
        </w:rPr>
        <w:t>,</w:t>
      </w:r>
      <w:r>
        <w:rPr>
          <w:rFonts w:ascii="David" w:hAnsi="David" w:cs="David" w:hint="cs"/>
          <w:sz w:val="24"/>
          <w:szCs w:val="24"/>
          <w:rtl/>
        </w:rPr>
        <w:t xml:space="preserve"> הנתבעים העלו שלל טענות בעניין זה ,לרבות טענות לגופו של ענין נגד התביעה</w:t>
      </w:r>
      <w:r w:rsidR="00E559C4">
        <w:rPr>
          <w:rFonts w:ascii="David" w:hAnsi="David" w:cs="David" w:hint="cs"/>
          <w:sz w:val="24"/>
          <w:szCs w:val="24"/>
          <w:rtl/>
        </w:rPr>
        <w:t xml:space="preserve"> לביטול הרישום</w:t>
      </w:r>
      <w:r>
        <w:rPr>
          <w:rFonts w:ascii="David" w:hAnsi="David" w:cs="David" w:hint="cs"/>
          <w:sz w:val="24"/>
          <w:szCs w:val="24"/>
          <w:rtl/>
        </w:rPr>
        <w:t>,</w:t>
      </w:r>
      <w:r w:rsidR="00E559C4">
        <w:rPr>
          <w:rFonts w:ascii="David" w:hAnsi="David" w:cs="David" w:hint="cs"/>
          <w:sz w:val="24"/>
          <w:szCs w:val="24"/>
          <w:rtl/>
        </w:rPr>
        <w:t xml:space="preserve"> </w:t>
      </w:r>
      <w:r>
        <w:rPr>
          <w:rFonts w:ascii="David" w:hAnsi="David" w:cs="David" w:hint="cs"/>
          <w:sz w:val="24"/>
          <w:szCs w:val="24"/>
          <w:rtl/>
        </w:rPr>
        <w:t>הבוררת הכריעה ,</w:t>
      </w:r>
      <w:r w:rsidR="00954638">
        <w:rPr>
          <w:rFonts w:ascii="David" w:hAnsi="David" w:cs="David" w:hint="cs"/>
          <w:sz w:val="24"/>
          <w:szCs w:val="24"/>
          <w:rtl/>
        </w:rPr>
        <w:t>התובעים הסכימו להכרעה בהתנהגות,</w:t>
      </w:r>
      <w:r>
        <w:rPr>
          <w:rFonts w:ascii="David" w:hAnsi="David" w:cs="David" w:hint="cs"/>
          <w:sz w:val="24"/>
          <w:szCs w:val="24"/>
          <w:rtl/>
        </w:rPr>
        <w:t xml:space="preserve"> התביעה מתייתר</w:t>
      </w:r>
      <w:r w:rsidR="00E559C4">
        <w:rPr>
          <w:rFonts w:ascii="David" w:hAnsi="David" w:cs="David" w:hint="cs"/>
          <w:sz w:val="24"/>
          <w:szCs w:val="24"/>
          <w:rtl/>
        </w:rPr>
        <w:t>ת לאור פסק הבורר, התביעה סותרת ה</w:t>
      </w:r>
      <w:r>
        <w:rPr>
          <w:rFonts w:ascii="David" w:hAnsi="David" w:cs="David" w:hint="cs"/>
          <w:sz w:val="24"/>
          <w:szCs w:val="24"/>
          <w:rtl/>
        </w:rPr>
        <w:t>תביעה לפירוק שיתוף וכ</w:t>
      </w:r>
      <w:r w:rsidR="00E559C4">
        <w:rPr>
          <w:rFonts w:ascii="David" w:hAnsi="David" w:cs="David" w:hint="cs"/>
          <w:sz w:val="24"/>
          <w:szCs w:val="24"/>
          <w:rtl/>
        </w:rPr>
        <w:t>ו</w:t>
      </w:r>
      <w:r>
        <w:rPr>
          <w:rFonts w:ascii="David" w:hAnsi="David" w:cs="David" w:hint="cs"/>
          <w:sz w:val="24"/>
          <w:szCs w:val="24"/>
          <w:rtl/>
        </w:rPr>
        <w:t>'.</w:t>
      </w:r>
    </w:p>
    <w:p w:rsidR="00130E6D" w:rsidRPr="00130E6D" w:rsidRDefault="00130E6D" w:rsidP="002931B7">
      <w:pPr>
        <w:pStyle w:val="af"/>
        <w:spacing w:line="360" w:lineRule="auto"/>
        <w:ind w:left="360"/>
        <w:jc w:val="both"/>
        <w:rPr>
          <w:rFonts w:ascii="David" w:hAnsi="David" w:cs="David"/>
          <w:b/>
          <w:bCs/>
          <w:sz w:val="24"/>
          <w:szCs w:val="24"/>
          <w:rtl/>
        </w:rPr>
      </w:pPr>
    </w:p>
    <w:p w:rsidR="00130E6D" w:rsidRDefault="00B876B8" w:rsidP="002931B7">
      <w:pPr>
        <w:pStyle w:val="af"/>
        <w:numPr>
          <w:ilvl w:val="0"/>
          <w:numId w:val="2"/>
        </w:numPr>
        <w:spacing w:line="360" w:lineRule="auto"/>
        <w:jc w:val="both"/>
        <w:rPr>
          <w:rFonts w:ascii="David" w:hAnsi="David" w:cs="David"/>
          <w:sz w:val="24"/>
          <w:szCs w:val="24"/>
        </w:rPr>
      </w:pPr>
      <w:r>
        <w:rPr>
          <w:rFonts w:ascii="David" w:hAnsi="David" w:cs="David"/>
          <w:sz w:val="24"/>
          <w:szCs w:val="24"/>
          <w:rtl/>
        </w:rPr>
        <w:lastRenderedPageBreak/>
        <w:t xml:space="preserve">לא מצאתי לקבל </w:t>
      </w:r>
      <w:r>
        <w:rPr>
          <w:rFonts w:ascii="David" w:hAnsi="David" w:cs="David" w:hint="cs"/>
          <w:sz w:val="24"/>
          <w:szCs w:val="24"/>
          <w:rtl/>
        </w:rPr>
        <w:t xml:space="preserve">הטענות </w:t>
      </w:r>
      <w:r w:rsidR="00130E6D" w:rsidRPr="00130E6D">
        <w:rPr>
          <w:rFonts w:ascii="David" w:hAnsi="David" w:cs="David"/>
          <w:sz w:val="24"/>
          <w:szCs w:val="24"/>
          <w:rtl/>
        </w:rPr>
        <w:t>כי הבור</w:t>
      </w:r>
      <w:r w:rsidR="00130E6D">
        <w:rPr>
          <w:rFonts w:ascii="David" w:hAnsi="David" w:cs="David"/>
          <w:sz w:val="24"/>
          <w:szCs w:val="24"/>
          <w:rtl/>
        </w:rPr>
        <w:t>רת הכריעה בתביעה לביטול הרישום</w:t>
      </w:r>
      <w:r w:rsidR="00130E6D">
        <w:rPr>
          <w:rFonts w:ascii="David" w:hAnsi="David" w:cs="David" w:hint="cs"/>
          <w:sz w:val="24"/>
          <w:szCs w:val="24"/>
          <w:rtl/>
        </w:rPr>
        <w:t>.</w:t>
      </w:r>
    </w:p>
    <w:p w:rsidR="00130E6D" w:rsidRPr="00130E6D" w:rsidRDefault="00E559C4" w:rsidP="002931B7">
      <w:pPr>
        <w:pStyle w:val="af"/>
        <w:spacing w:line="360" w:lineRule="auto"/>
        <w:ind w:left="360"/>
        <w:jc w:val="both"/>
        <w:rPr>
          <w:rFonts w:ascii="David" w:hAnsi="David" w:cs="David"/>
          <w:sz w:val="24"/>
          <w:szCs w:val="24"/>
          <w:rtl/>
        </w:rPr>
      </w:pPr>
      <w:r>
        <w:rPr>
          <w:rFonts w:ascii="David" w:hAnsi="David" w:cs="David"/>
          <w:sz w:val="24"/>
          <w:szCs w:val="24"/>
          <w:rtl/>
        </w:rPr>
        <w:t>כאמור</w:t>
      </w:r>
      <w:r>
        <w:rPr>
          <w:rFonts w:ascii="David" w:hAnsi="David" w:cs="David" w:hint="cs"/>
          <w:sz w:val="24"/>
          <w:szCs w:val="24"/>
          <w:rtl/>
        </w:rPr>
        <w:t xml:space="preserve">, </w:t>
      </w:r>
      <w:r w:rsidR="00130E6D" w:rsidRPr="00130E6D">
        <w:rPr>
          <w:rFonts w:ascii="David" w:hAnsi="David" w:cs="David"/>
          <w:sz w:val="24"/>
          <w:szCs w:val="24"/>
          <w:rtl/>
        </w:rPr>
        <w:t xml:space="preserve"> בין יתר התביעות אשר הועברו להכרעת הבוררת הייתה התביעה שהגישו התובעים כנגד הנתבע  בתמש30135-07-18, תביעה לביטול רישום </w:t>
      </w:r>
      <w:r>
        <w:rPr>
          <w:rFonts w:ascii="David" w:hAnsi="David" w:cs="David" w:hint="cs"/>
          <w:sz w:val="24"/>
          <w:szCs w:val="24"/>
          <w:rtl/>
        </w:rPr>
        <w:t xml:space="preserve"> הנתבע כבעל ה</w:t>
      </w:r>
      <w:r w:rsidR="00130E6D" w:rsidRPr="00130E6D">
        <w:rPr>
          <w:rFonts w:ascii="David" w:hAnsi="David" w:cs="David"/>
          <w:sz w:val="24"/>
          <w:szCs w:val="24"/>
          <w:rtl/>
        </w:rPr>
        <w:t>ז</w:t>
      </w:r>
      <w:r>
        <w:rPr>
          <w:rFonts w:ascii="David" w:hAnsi="David" w:cs="David"/>
          <w:sz w:val="24"/>
          <w:szCs w:val="24"/>
          <w:rtl/>
        </w:rPr>
        <w:t xml:space="preserve">כויות בדירה </w:t>
      </w:r>
      <w:r w:rsidR="00130E6D" w:rsidRPr="00130E6D">
        <w:rPr>
          <w:rFonts w:ascii="David" w:hAnsi="David" w:cs="David"/>
          <w:sz w:val="24"/>
          <w:szCs w:val="24"/>
          <w:rtl/>
        </w:rPr>
        <w:t>, שהושג שלא כדין.</w:t>
      </w:r>
    </w:p>
    <w:p w:rsidR="00130E6D" w:rsidRPr="00130E6D" w:rsidRDefault="00130E6D" w:rsidP="002931B7">
      <w:pPr>
        <w:pStyle w:val="af"/>
        <w:spacing w:line="360" w:lineRule="auto"/>
        <w:ind w:left="360"/>
        <w:jc w:val="both"/>
        <w:rPr>
          <w:rFonts w:ascii="David" w:hAnsi="David" w:cs="David"/>
          <w:b/>
          <w:bCs/>
          <w:sz w:val="24"/>
          <w:szCs w:val="24"/>
          <w:rtl/>
        </w:rPr>
      </w:pPr>
      <w:r w:rsidRPr="00130E6D">
        <w:rPr>
          <w:rFonts w:ascii="David" w:hAnsi="David" w:cs="David"/>
          <w:b/>
          <w:bCs/>
          <w:sz w:val="24"/>
          <w:szCs w:val="24"/>
          <w:rtl/>
        </w:rPr>
        <w:t xml:space="preserve"> </w:t>
      </w:r>
    </w:p>
    <w:p w:rsidR="00130E6D" w:rsidRPr="00130E6D" w:rsidRDefault="00E559C4" w:rsidP="002931B7">
      <w:pPr>
        <w:pStyle w:val="af"/>
        <w:numPr>
          <w:ilvl w:val="0"/>
          <w:numId w:val="2"/>
        </w:numPr>
        <w:spacing w:line="360" w:lineRule="auto"/>
        <w:jc w:val="both"/>
        <w:rPr>
          <w:rFonts w:ascii="David" w:hAnsi="David" w:cs="David"/>
          <w:sz w:val="24"/>
          <w:szCs w:val="24"/>
          <w:rtl/>
        </w:rPr>
      </w:pPr>
      <w:r>
        <w:rPr>
          <w:rFonts w:ascii="David" w:hAnsi="David" w:cs="David"/>
          <w:sz w:val="24"/>
          <w:szCs w:val="24"/>
          <w:rtl/>
        </w:rPr>
        <w:t xml:space="preserve">בישיבה הראשונה </w:t>
      </w:r>
      <w:r w:rsidR="00130E6D" w:rsidRPr="00130E6D">
        <w:rPr>
          <w:rFonts w:ascii="David" w:hAnsi="David" w:cs="David"/>
          <w:sz w:val="24"/>
          <w:szCs w:val="24"/>
          <w:rtl/>
        </w:rPr>
        <w:t>בפני הבוררת מתאריך 13/12/18, העלו הצדדים טענות בעניין סדר דיון בתביעות, תביעת לפירוק שיתוף, דמי שימוש וגם תביעה לביטול רישום, ויתר התביעות,  ,ובסוף הוסכם לדון בהתחלה בשתי תביעות פירוק שיתוף ודמי שימוש. (עמ' 7, 8 לדיון).</w:t>
      </w:r>
    </w:p>
    <w:p w:rsidR="00130E6D" w:rsidRPr="00130E6D" w:rsidRDefault="00130E6D" w:rsidP="002931B7">
      <w:pPr>
        <w:pStyle w:val="af"/>
        <w:spacing w:line="360" w:lineRule="auto"/>
        <w:ind w:left="360"/>
        <w:jc w:val="both"/>
        <w:rPr>
          <w:rFonts w:ascii="David" w:hAnsi="David" w:cs="David"/>
          <w:b/>
          <w:bCs/>
          <w:sz w:val="24"/>
          <w:szCs w:val="24"/>
          <w:rtl/>
        </w:rPr>
      </w:pPr>
    </w:p>
    <w:p w:rsidR="00130E6D" w:rsidRPr="00130E6D" w:rsidRDefault="00130E6D" w:rsidP="002931B7">
      <w:pPr>
        <w:pStyle w:val="af"/>
        <w:numPr>
          <w:ilvl w:val="0"/>
          <w:numId w:val="2"/>
        </w:numPr>
        <w:spacing w:line="360" w:lineRule="auto"/>
        <w:jc w:val="both"/>
        <w:rPr>
          <w:rFonts w:ascii="David" w:hAnsi="David" w:cs="David"/>
          <w:sz w:val="24"/>
          <w:szCs w:val="24"/>
          <w:rtl/>
        </w:rPr>
      </w:pPr>
      <w:r w:rsidRPr="00130E6D">
        <w:rPr>
          <w:rFonts w:ascii="David" w:hAnsi="David" w:cs="David"/>
          <w:sz w:val="24"/>
          <w:szCs w:val="24"/>
          <w:rtl/>
        </w:rPr>
        <w:t>מעיון בהליך הבוררות עולה כי</w:t>
      </w:r>
      <w:r w:rsidR="00E559C4">
        <w:rPr>
          <w:rFonts w:ascii="David" w:hAnsi="David" w:cs="David" w:hint="cs"/>
          <w:sz w:val="24"/>
          <w:szCs w:val="24"/>
          <w:rtl/>
        </w:rPr>
        <w:t>,</w:t>
      </w:r>
      <w:r w:rsidRPr="00130E6D">
        <w:rPr>
          <w:rFonts w:ascii="David" w:hAnsi="David" w:cs="David"/>
          <w:sz w:val="24"/>
          <w:szCs w:val="24"/>
          <w:rtl/>
        </w:rPr>
        <w:t xml:space="preserve"> לא התקיים דיון בפועל בתביעה לביטול הרישום ,לא הובאו ראיות, לא נשמעו עדויות , ולא הוגשו סיכומים בתביעה זו ,ואין טיעון נפרד ספציפי לגופה של התביעה. אמנם נמצא כי התובעים, העלו במסגרת הסיכומים בפני הבוררות טענות   בענ</w:t>
      </w:r>
      <w:r>
        <w:rPr>
          <w:rFonts w:ascii="David" w:hAnsi="David" w:cs="David" w:hint="cs"/>
          <w:sz w:val="24"/>
          <w:szCs w:val="24"/>
          <w:rtl/>
        </w:rPr>
        <w:t>י</w:t>
      </w:r>
      <w:r w:rsidRPr="00130E6D">
        <w:rPr>
          <w:rFonts w:ascii="David" w:hAnsi="David" w:cs="David"/>
          <w:sz w:val="24"/>
          <w:szCs w:val="24"/>
          <w:rtl/>
        </w:rPr>
        <w:t>ין רישום הנכס במרמה על שם הנתבע, אולם לדידי, הדבר נעשה לצורך הבנת מלוא המחלוקת ומדובר בהתייחסות אגבית בלבד, ובפרט שטענות אלה נטענו ע"י התובעים  גם בתביעתם  לפירוק השיתוף.</w:t>
      </w:r>
    </w:p>
    <w:p w:rsidR="00130E6D" w:rsidRPr="00130E6D" w:rsidRDefault="00130E6D" w:rsidP="002931B7">
      <w:pPr>
        <w:pStyle w:val="af"/>
        <w:spacing w:line="360" w:lineRule="auto"/>
        <w:ind w:left="360"/>
        <w:jc w:val="both"/>
        <w:rPr>
          <w:rFonts w:ascii="David" w:hAnsi="David" w:cs="David"/>
          <w:b/>
          <w:bCs/>
          <w:sz w:val="24"/>
          <w:szCs w:val="24"/>
          <w:rtl/>
        </w:rPr>
      </w:pPr>
    </w:p>
    <w:p w:rsidR="00130E6D" w:rsidRPr="00130E6D" w:rsidRDefault="00C04F83"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בנוסף, </w:t>
      </w:r>
      <w:r w:rsidR="00130E6D" w:rsidRPr="00130E6D">
        <w:rPr>
          <w:rFonts w:ascii="David" w:hAnsi="David" w:cs="David"/>
          <w:sz w:val="24"/>
          <w:szCs w:val="24"/>
          <w:rtl/>
        </w:rPr>
        <w:t xml:space="preserve">מעיון בפסק </w:t>
      </w:r>
      <w:r>
        <w:rPr>
          <w:rFonts w:ascii="David" w:hAnsi="David" w:cs="David" w:hint="cs"/>
          <w:sz w:val="24"/>
          <w:szCs w:val="24"/>
          <w:rtl/>
        </w:rPr>
        <w:t>ה</w:t>
      </w:r>
      <w:r w:rsidR="00130E6D" w:rsidRPr="00130E6D">
        <w:rPr>
          <w:rFonts w:ascii="David" w:hAnsi="David" w:cs="David"/>
          <w:sz w:val="24"/>
          <w:szCs w:val="24"/>
          <w:rtl/>
        </w:rPr>
        <w:t>בורר עולה כי,</w:t>
      </w:r>
      <w:r w:rsidR="000C263E">
        <w:rPr>
          <w:rFonts w:ascii="David" w:hAnsi="David" w:cs="David" w:hint="cs"/>
          <w:sz w:val="24"/>
          <w:szCs w:val="24"/>
          <w:rtl/>
        </w:rPr>
        <w:t xml:space="preserve"> </w:t>
      </w:r>
      <w:r w:rsidR="00130E6D" w:rsidRPr="00130E6D">
        <w:rPr>
          <w:rFonts w:ascii="David" w:hAnsi="David" w:cs="David"/>
          <w:sz w:val="24"/>
          <w:szCs w:val="24"/>
          <w:rtl/>
        </w:rPr>
        <w:t>אין הכרעה בתביעה לביטול רישום במרמה.</w:t>
      </w:r>
    </w:p>
    <w:p w:rsidR="00130E6D" w:rsidRDefault="00130E6D" w:rsidP="002931B7">
      <w:pPr>
        <w:pStyle w:val="af"/>
        <w:spacing w:line="360" w:lineRule="auto"/>
        <w:ind w:left="360"/>
        <w:jc w:val="both"/>
        <w:rPr>
          <w:rFonts w:ascii="David" w:hAnsi="David" w:cs="David"/>
          <w:b/>
          <w:bCs/>
          <w:sz w:val="24"/>
          <w:szCs w:val="24"/>
          <w:rtl/>
        </w:rPr>
      </w:pPr>
      <w:r w:rsidRPr="00130E6D">
        <w:rPr>
          <w:rFonts w:ascii="David" w:hAnsi="David" w:cs="David"/>
          <w:sz w:val="24"/>
          <w:szCs w:val="24"/>
          <w:rtl/>
        </w:rPr>
        <w:t xml:space="preserve">בפתח "פסק בורר" ציינה הבוררת </w:t>
      </w:r>
      <w:r w:rsidRPr="00130E6D">
        <w:rPr>
          <w:rFonts w:ascii="David" w:hAnsi="David" w:cs="David"/>
          <w:b/>
          <w:bCs/>
          <w:sz w:val="24"/>
          <w:szCs w:val="24"/>
          <w:rtl/>
        </w:rPr>
        <w:t>:"בפסק בורר זה אכריע במחלוקות שנתגלעו בין הצדדים בתא 35296-06-17-תביעה לדמי שימוש ראויים, ובתא 14056-06-17 –תביעה לפירוק שיתוף</w:t>
      </w:r>
      <w:r w:rsidR="00C04F83">
        <w:rPr>
          <w:rFonts w:ascii="David" w:hAnsi="David" w:cs="David"/>
          <w:sz w:val="24"/>
          <w:szCs w:val="24"/>
          <w:rtl/>
        </w:rPr>
        <w:t xml:space="preserve">". בהמשך </w:t>
      </w:r>
      <w:r w:rsidRPr="00130E6D">
        <w:rPr>
          <w:rFonts w:ascii="David" w:hAnsi="David" w:cs="David"/>
          <w:sz w:val="24"/>
          <w:szCs w:val="24"/>
          <w:rtl/>
        </w:rPr>
        <w:t xml:space="preserve"> בסעיף 8 שם, הוסיפה  כי</w:t>
      </w:r>
      <w:r w:rsidR="00C04F83">
        <w:rPr>
          <w:rFonts w:ascii="David" w:hAnsi="David" w:cs="David" w:hint="cs"/>
          <w:sz w:val="24"/>
          <w:szCs w:val="24"/>
          <w:rtl/>
        </w:rPr>
        <w:t>:</w:t>
      </w:r>
      <w:r w:rsidRPr="00130E6D">
        <w:rPr>
          <w:rFonts w:ascii="David" w:hAnsi="David" w:cs="David"/>
          <w:sz w:val="24"/>
          <w:szCs w:val="24"/>
          <w:rtl/>
        </w:rPr>
        <w:t xml:space="preserve"> " </w:t>
      </w:r>
      <w:r w:rsidRPr="00130E6D">
        <w:rPr>
          <w:rFonts w:ascii="David" w:hAnsi="David" w:cs="David"/>
          <w:b/>
          <w:bCs/>
          <w:sz w:val="24"/>
          <w:szCs w:val="24"/>
          <w:rtl/>
        </w:rPr>
        <w:t>ההכרעה להלן עוסקת ב</w:t>
      </w:r>
      <w:r w:rsidR="00C04F83">
        <w:rPr>
          <w:rFonts w:ascii="David" w:hAnsi="David" w:cs="David"/>
          <w:b/>
          <w:bCs/>
          <w:sz w:val="24"/>
          <w:szCs w:val="24"/>
          <w:rtl/>
        </w:rPr>
        <w:t>שתי תביעות-תביעה לפירוק שיתוף ו</w:t>
      </w:r>
      <w:r w:rsidRPr="00130E6D">
        <w:rPr>
          <w:rFonts w:ascii="David" w:hAnsi="David" w:cs="David"/>
          <w:b/>
          <w:bCs/>
          <w:sz w:val="24"/>
          <w:szCs w:val="24"/>
          <w:rtl/>
        </w:rPr>
        <w:t>תביעה לדמי שימוש, בלבד".</w:t>
      </w:r>
      <w:r w:rsidRPr="007D6397">
        <w:rPr>
          <w:rFonts w:ascii="David" w:hAnsi="David" w:cs="David"/>
          <w:sz w:val="24"/>
          <w:szCs w:val="24"/>
          <w:rtl/>
        </w:rPr>
        <w:t xml:space="preserve"> בהמשך</w:t>
      </w:r>
      <w:r w:rsidRPr="00130E6D">
        <w:rPr>
          <w:rFonts w:ascii="David" w:hAnsi="David" w:cs="David"/>
          <w:sz w:val="24"/>
          <w:szCs w:val="24"/>
          <w:rtl/>
        </w:rPr>
        <w:t>, במסגרת "פירוק השיתוף בנכס", ציינה הבוררת (סעיף12) : "</w:t>
      </w:r>
      <w:r w:rsidRPr="00130E6D">
        <w:rPr>
          <w:rFonts w:ascii="David" w:hAnsi="David" w:cs="David"/>
          <w:b/>
          <w:bCs/>
          <w:sz w:val="24"/>
          <w:szCs w:val="24"/>
          <w:rtl/>
        </w:rPr>
        <w:t xml:space="preserve">אשר למחלוקת </w:t>
      </w:r>
      <w:r w:rsidR="00893D05">
        <w:rPr>
          <w:rFonts w:ascii="David" w:hAnsi="David" w:cs="David"/>
          <w:b/>
          <w:bCs/>
          <w:sz w:val="24"/>
          <w:szCs w:val="24"/>
          <w:rtl/>
        </w:rPr>
        <w:t xml:space="preserve">בין הצדדים באשר לאופן בו נרשם </w:t>
      </w:r>
      <w:r w:rsidR="00893D05">
        <w:rPr>
          <w:rFonts w:ascii="David" w:hAnsi="David" w:cs="David" w:hint="cs"/>
          <w:b/>
          <w:bCs/>
          <w:sz w:val="24"/>
          <w:szCs w:val="24"/>
          <w:rtl/>
        </w:rPr>
        <w:t>הנתבע</w:t>
      </w:r>
      <w:r w:rsidRPr="00130E6D">
        <w:rPr>
          <w:rFonts w:ascii="David" w:hAnsi="David" w:cs="David"/>
          <w:b/>
          <w:bCs/>
          <w:sz w:val="24"/>
          <w:szCs w:val="24"/>
          <w:rtl/>
        </w:rPr>
        <w:t xml:space="preserve"> במרשם המקרקעין כבעל הזכויות בנכס. לטעמי מחלוקת זו אינה דרושה להכרעה כאן. ראיתי לציין בענין זה, ולו על מנת שלא יימצא הנייר חסר, כי הטענה לרישום במרמה, נסתרת בעדויות התובעים ובאי כוחם....מכאן ברור כי הרישום לא נעשה ב</w:t>
      </w:r>
      <w:r w:rsidR="00893D05">
        <w:rPr>
          <w:rFonts w:ascii="David" w:hAnsi="David" w:cs="David"/>
          <w:b/>
          <w:bCs/>
          <w:sz w:val="24"/>
          <w:szCs w:val="24"/>
          <w:rtl/>
        </w:rPr>
        <w:t xml:space="preserve">מרמה , על אף שלאחר רישומו של </w:t>
      </w:r>
      <w:r w:rsidR="00893D05">
        <w:rPr>
          <w:rFonts w:ascii="David" w:hAnsi="David" w:cs="David" w:hint="cs"/>
          <w:b/>
          <w:bCs/>
          <w:sz w:val="24"/>
          <w:szCs w:val="24"/>
          <w:rtl/>
        </w:rPr>
        <w:t xml:space="preserve">הנתבע </w:t>
      </w:r>
      <w:r w:rsidRPr="00130E6D">
        <w:rPr>
          <w:rFonts w:ascii="David" w:hAnsi="David" w:cs="David"/>
          <w:b/>
          <w:bCs/>
          <w:sz w:val="24"/>
          <w:szCs w:val="24"/>
          <w:rtl/>
        </w:rPr>
        <w:t>כבל זכויות במרשם, לא נרשמו זכויות התובעים על פי ההסכמות ...... אוסיף...כך שהתובעים לא היו יכולים להי</w:t>
      </w:r>
      <w:r w:rsidR="00893D05">
        <w:rPr>
          <w:rFonts w:ascii="David" w:hAnsi="David" w:cs="David"/>
          <w:b/>
          <w:bCs/>
          <w:sz w:val="24"/>
          <w:szCs w:val="24"/>
          <w:rtl/>
        </w:rPr>
        <w:t xml:space="preserve">רשם במרשם כבעלי זכויות יחד עם </w:t>
      </w:r>
      <w:r w:rsidR="00893D05">
        <w:rPr>
          <w:rFonts w:ascii="David" w:hAnsi="David" w:cs="David" w:hint="cs"/>
          <w:b/>
          <w:bCs/>
          <w:sz w:val="24"/>
          <w:szCs w:val="24"/>
          <w:rtl/>
        </w:rPr>
        <w:t xml:space="preserve">הנתבע </w:t>
      </w:r>
      <w:r w:rsidRPr="00130E6D">
        <w:rPr>
          <w:rFonts w:ascii="David" w:hAnsi="David" w:cs="David"/>
          <w:b/>
          <w:bCs/>
          <w:sz w:val="24"/>
          <w:szCs w:val="24"/>
          <w:rtl/>
        </w:rPr>
        <w:t>".</w:t>
      </w:r>
    </w:p>
    <w:p w:rsidR="00C04F83" w:rsidRPr="00C04F83" w:rsidRDefault="00C04F83" w:rsidP="002931B7">
      <w:pPr>
        <w:pStyle w:val="af"/>
        <w:spacing w:line="360" w:lineRule="auto"/>
        <w:ind w:left="360"/>
        <w:jc w:val="both"/>
        <w:rPr>
          <w:rFonts w:ascii="David" w:hAnsi="David" w:cs="David"/>
          <w:b/>
          <w:bCs/>
          <w:sz w:val="24"/>
          <w:szCs w:val="24"/>
          <w:rtl/>
        </w:rPr>
      </w:pPr>
    </w:p>
    <w:p w:rsidR="00411747" w:rsidRPr="00411747" w:rsidRDefault="00411747" w:rsidP="002931B7">
      <w:pPr>
        <w:pStyle w:val="af"/>
        <w:numPr>
          <w:ilvl w:val="0"/>
          <w:numId w:val="2"/>
        </w:numPr>
        <w:spacing w:line="360" w:lineRule="auto"/>
        <w:jc w:val="both"/>
        <w:rPr>
          <w:rFonts w:ascii="David" w:hAnsi="David" w:cs="David"/>
          <w:sz w:val="24"/>
          <w:szCs w:val="24"/>
          <w:rtl/>
        </w:rPr>
      </w:pPr>
      <w:r w:rsidRPr="00411747">
        <w:rPr>
          <w:rFonts w:ascii="David" w:hAnsi="David" w:cs="David"/>
          <w:sz w:val="24"/>
          <w:szCs w:val="24"/>
          <w:rtl/>
        </w:rPr>
        <w:t>על רקע האמור לעיל ובשים לב לדברי הבוררת בפסק הבורר, נמצא כי התביעה לביטול רישום, הינה תבי</w:t>
      </w:r>
      <w:r w:rsidR="005A0BF4">
        <w:rPr>
          <w:rFonts w:ascii="David" w:hAnsi="David" w:cs="David"/>
          <w:sz w:val="24"/>
          <w:szCs w:val="24"/>
          <w:rtl/>
        </w:rPr>
        <w:t xml:space="preserve">עה נפרדת ועצמאית, עדיין </w:t>
      </w:r>
      <w:r w:rsidRPr="00411747">
        <w:rPr>
          <w:rFonts w:ascii="David" w:hAnsi="David" w:cs="David"/>
          <w:sz w:val="24"/>
          <w:szCs w:val="24"/>
          <w:rtl/>
        </w:rPr>
        <w:t>עומדת  בפני עצמה, לא נידונה ולא הוכרעה בפני הבוררת</w:t>
      </w:r>
      <w:r w:rsidRPr="00411747">
        <w:rPr>
          <w:rFonts w:ascii="David" w:hAnsi="David" w:cs="David" w:hint="cs"/>
          <w:sz w:val="24"/>
          <w:szCs w:val="24"/>
          <w:rtl/>
        </w:rPr>
        <w:t>.</w:t>
      </w:r>
      <w:r w:rsidRPr="00411747">
        <w:rPr>
          <w:rFonts w:ascii="David" w:hAnsi="David" w:cs="David"/>
          <w:sz w:val="24"/>
          <w:szCs w:val="24"/>
          <w:rtl/>
        </w:rPr>
        <w:t xml:space="preserve"> </w:t>
      </w:r>
      <w:r>
        <w:rPr>
          <w:rFonts w:ascii="David" w:hAnsi="David" w:cs="David" w:hint="cs"/>
          <w:sz w:val="24"/>
          <w:szCs w:val="24"/>
          <w:rtl/>
        </w:rPr>
        <w:t>ועל כן</w:t>
      </w:r>
      <w:r w:rsidR="00C04F83">
        <w:rPr>
          <w:rFonts w:ascii="David" w:hAnsi="David" w:cs="David" w:hint="cs"/>
          <w:sz w:val="24"/>
          <w:szCs w:val="24"/>
          <w:rtl/>
        </w:rPr>
        <w:t xml:space="preserve">, </w:t>
      </w:r>
      <w:r>
        <w:rPr>
          <w:rFonts w:ascii="David" w:hAnsi="David" w:cs="David" w:hint="cs"/>
          <w:sz w:val="24"/>
          <w:szCs w:val="24"/>
          <w:rtl/>
        </w:rPr>
        <w:t xml:space="preserve"> </w:t>
      </w:r>
      <w:r w:rsidRPr="00411747">
        <w:rPr>
          <w:rFonts w:ascii="David" w:hAnsi="David" w:cs="David"/>
          <w:sz w:val="24"/>
          <w:szCs w:val="24"/>
          <w:rtl/>
        </w:rPr>
        <w:t>אין להידרש כלל לטענות לגופן בענ</w:t>
      </w:r>
      <w:r w:rsidRPr="00411747">
        <w:rPr>
          <w:rFonts w:ascii="David" w:hAnsi="David" w:cs="David" w:hint="cs"/>
          <w:sz w:val="24"/>
          <w:szCs w:val="24"/>
          <w:rtl/>
        </w:rPr>
        <w:t>י</w:t>
      </w:r>
      <w:r w:rsidR="00C04F83">
        <w:rPr>
          <w:rFonts w:ascii="David" w:hAnsi="David" w:cs="David"/>
          <w:sz w:val="24"/>
          <w:szCs w:val="24"/>
          <w:rtl/>
        </w:rPr>
        <w:t>ין נסיבות הרישום</w:t>
      </w:r>
      <w:r w:rsidR="005A0BF4">
        <w:rPr>
          <w:rFonts w:ascii="David" w:hAnsi="David" w:cs="David" w:hint="cs"/>
          <w:sz w:val="24"/>
          <w:szCs w:val="24"/>
          <w:rtl/>
        </w:rPr>
        <w:t>,</w:t>
      </w:r>
      <w:r w:rsidR="00C04F83">
        <w:rPr>
          <w:rFonts w:ascii="David" w:hAnsi="David" w:cs="David" w:hint="cs"/>
          <w:sz w:val="24"/>
          <w:szCs w:val="24"/>
          <w:rtl/>
        </w:rPr>
        <w:t xml:space="preserve"> </w:t>
      </w:r>
      <w:r w:rsidR="005A0BF4">
        <w:rPr>
          <w:rFonts w:ascii="David" w:hAnsi="David" w:cs="David" w:hint="cs"/>
          <w:sz w:val="24"/>
          <w:szCs w:val="24"/>
          <w:rtl/>
        </w:rPr>
        <w:t>או כי התביעה אינה רלבנטית כיום, לאור פסק הבורר. כל הטענות האלה יועלו ו</w:t>
      </w:r>
      <w:r w:rsidR="00C04F83">
        <w:rPr>
          <w:rFonts w:ascii="David" w:hAnsi="David" w:cs="David" w:hint="cs"/>
          <w:sz w:val="24"/>
          <w:szCs w:val="24"/>
          <w:rtl/>
        </w:rPr>
        <w:t>יידונו במסגרת הדיון בתביעה עצמה.</w:t>
      </w:r>
    </w:p>
    <w:p w:rsidR="00411747" w:rsidRDefault="00C04F83" w:rsidP="002931B7">
      <w:pPr>
        <w:pStyle w:val="af"/>
        <w:spacing w:line="360" w:lineRule="auto"/>
        <w:ind w:left="360"/>
        <w:jc w:val="both"/>
        <w:rPr>
          <w:rFonts w:ascii="David" w:hAnsi="David" w:cs="David"/>
          <w:sz w:val="24"/>
          <w:szCs w:val="24"/>
          <w:rtl/>
        </w:rPr>
      </w:pPr>
      <w:r w:rsidRPr="00C04F83">
        <w:rPr>
          <w:rFonts w:ascii="David" w:hAnsi="David" w:cs="David"/>
          <w:sz w:val="24"/>
          <w:szCs w:val="24"/>
          <w:rtl/>
        </w:rPr>
        <w:t>לעניין גילוי הדעת של הבוררת</w:t>
      </w:r>
      <w:r>
        <w:rPr>
          <w:rFonts w:ascii="David" w:hAnsi="David" w:cs="David" w:hint="cs"/>
          <w:sz w:val="24"/>
          <w:szCs w:val="24"/>
          <w:rtl/>
        </w:rPr>
        <w:t xml:space="preserve">, </w:t>
      </w:r>
      <w:r w:rsidRPr="00C04F83">
        <w:rPr>
          <w:rFonts w:ascii="David" w:hAnsi="David" w:cs="David"/>
          <w:sz w:val="24"/>
          <w:szCs w:val="24"/>
          <w:rtl/>
        </w:rPr>
        <w:t xml:space="preserve"> לגבי סיכויי התביעה לביטול הרישום, אדון בהמשך.</w:t>
      </w:r>
    </w:p>
    <w:p w:rsidR="00C04F83" w:rsidRPr="00411747" w:rsidRDefault="00C04F83" w:rsidP="002931B7">
      <w:pPr>
        <w:pStyle w:val="af"/>
        <w:spacing w:line="360" w:lineRule="auto"/>
        <w:ind w:left="360"/>
        <w:jc w:val="both"/>
        <w:rPr>
          <w:rFonts w:ascii="David" w:hAnsi="David" w:cs="David"/>
          <w:sz w:val="24"/>
          <w:szCs w:val="24"/>
          <w:rtl/>
        </w:rPr>
      </w:pPr>
    </w:p>
    <w:p w:rsidR="00411747" w:rsidRPr="00411747" w:rsidRDefault="00411747" w:rsidP="002931B7">
      <w:pPr>
        <w:pStyle w:val="af"/>
        <w:numPr>
          <w:ilvl w:val="0"/>
          <w:numId w:val="2"/>
        </w:numPr>
        <w:spacing w:line="360" w:lineRule="auto"/>
        <w:jc w:val="both"/>
        <w:rPr>
          <w:rFonts w:ascii="David" w:hAnsi="David" w:cs="David"/>
          <w:sz w:val="24"/>
          <w:szCs w:val="24"/>
          <w:rtl/>
        </w:rPr>
      </w:pPr>
      <w:r w:rsidRPr="00411747">
        <w:rPr>
          <w:rFonts w:ascii="David" w:hAnsi="David" w:cs="David"/>
          <w:sz w:val="24"/>
          <w:szCs w:val="24"/>
          <w:rtl/>
        </w:rPr>
        <w:lastRenderedPageBreak/>
        <w:t>לסיכום-תביעה לביטול רישום, לא נדונה ולא הוכרעה בפני הבוררת.</w:t>
      </w:r>
    </w:p>
    <w:p w:rsidR="005D4E8C" w:rsidRPr="0013508B" w:rsidRDefault="00411747" w:rsidP="0013508B">
      <w:pPr>
        <w:pStyle w:val="af"/>
        <w:spacing w:line="360" w:lineRule="auto"/>
        <w:ind w:left="360"/>
        <w:jc w:val="both"/>
        <w:rPr>
          <w:rFonts w:ascii="David" w:hAnsi="David" w:cs="David"/>
          <w:sz w:val="24"/>
          <w:szCs w:val="24"/>
        </w:rPr>
      </w:pPr>
      <w:r w:rsidRPr="00411747">
        <w:rPr>
          <w:rFonts w:ascii="David" w:hAnsi="David" w:cs="David"/>
          <w:sz w:val="24"/>
          <w:szCs w:val="24"/>
          <w:rtl/>
        </w:rPr>
        <w:t>לאור מסקנתי זו, נופלת מאליה הטענה לחריגה או חוסר סמכות  "בהכרעת" הבוררת בעני</w:t>
      </w:r>
      <w:r w:rsidR="00C04F83">
        <w:rPr>
          <w:rFonts w:ascii="David" w:hAnsi="David" w:cs="David" w:hint="cs"/>
          <w:sz w:val="24"/>
          <w:szCs w:val="24"/>
          <w:rtl/>
        </w:rPr>
        <w:t>י</w:t>
      </w:r>
      <w:r w:rsidRPr="00411747">
        <w:rPr>
          <w:rFonts w:ascii="David" w:hAnsi="David" w:cs="David"/>
          <w:sz w:val="24"/>
          <w:szCs w:val="24"/>
          <w:rtl/>
        </w:rPr>
        <w:t>ן תביעה לביטול רישום.</w:t>
      </w:r>
    </w:p>
    <w:p w:rsidR="005D4E8C" w:rsidRPr="000110A3" w:rsidRDefault="005D4E8C" w:rsidP="002931B7">
      <w:pPr>
        <w:spacing w:line="360" w:lineRule="auto"/>
        <w:jc w:val="both"/>
        <w:rPr>
          <w:rFonts w:ascii="David" w:hAnsi="David"/>
          <w:rtl/>
        </w:rPr>
      </w:pPr>
      <w:r w:rsidRPr="00D24782">
        <w:rPr>
          <w:rFonts w:ascii="David" w:hAnsi="David" w:hint="cs"/>
          <w:u w:val="single"/>
          <w:rtl/>
        </w:rPr>
        <w:t xml:space="preserve">פסק הבוררות נוגד את תקנת הציבור ועקרונות הצדק הטבעי </w:t>
      </w:r>
      <w:r w:rsidRPr="00D24782">
        <w:rPr>
          <w:rFonts w:ascii="David" w:hAnsi="David" w:hint="cs"/>
          <w:rtl/>
        </w:rPr>
        <w:t>:</w:t>
      </w:r>
    </w:p>
    <w:p w:rsidR="007D6397" w:rsidRDefault="00E44875" w:rsidP="002931B7">
      <w:pPr>
        <w:pStyle w:val="af"/>
        <w:numPr>
          <w:ilvl w:val="0"/>
          <w:numId w:val="2"/>
        </w:numPr>
        <w:spacing w:line="360" w:lineRule="auto"/>
        <w:jc w:val="both"/>
        <w:rPr>
          <w:rFonts w:ascii="David" w:hAnsi="David" w:cs="David"/>
          <w:sz w:val="24"/>
          <w:szCs w:val="24"/>
        </w:rPr>
      </w:pPr>
      <w:r w:rsidRPr="00E44875">
        <w:rPr>
          <w:rFonts w:ascii="David" w:hAnsi="David" w:cs="David" w:hint="cs"/>
          <w:sz w:val="24"/>
          <w:szCs w:val="24"/>
          <w:rtl/>
        </w:rPr>
        <w:t>הבוררת דחתה את תביעת התובעים לחייב את הנתבע</w:t>
      </w:r>
      <w:r w:rsidR="00076ECF">
        <w:rPr>
          <w:rFonts w:ascii="David" w:hAnsi="David" w:cs="David" w:hint="cs"/>
          <w:sz w:val="24"/>
          <w:szCs w:val="24"/>
          <w:rtl/>
        </w:rPr>
        <w:t>ים ב</w:t>
      </w:r>
      <w:r w:rsidRPr="00E44875">
        <w:rPr>
          <w:rFonts w:ascii="David" w:hAnsi="David" w:cs="David" w:hint="cs"/>
          <w:sz w:val="24"/>
          <w:szCs w:val="24"/>
          <w:rtl/>
        </w:rPr>
        <w:t>ת</w:t>
      </w:r>
      <w:r w:rsidR="00076ECF">
        <w:rPr>
          <w:rFonts w:ascii="David" w:hAnsi="David" w:cs="David" w:hint="cs"/>
          <w:sz w:val="24"/>
          <w:szCs w:val="24"/>
          <w:rtl/>
        </w:rPr>
        <w:t>ש</w:t>
      </w:r>
      <w:r w:rsidRPr="00E44875">
        <w:rPr>
          <w:rFonts w:ascii="David" w:hAnsi="David" w:cs="David" w:hint="cs"/>
          <w:sz w:val="24"/>
          <w:szCs w:val="24"/>
          <w:rtl/>
        </w:rPr>
        <w:t xml:space="preserve">לום דמי שימוש וקבעה </w:t>
      </w:r>
      <w:r w:rsidR="005D4E8C" w:rsidRPr="00E44875">
        <w:rPr>
          <w:rFonts w:ascii="David" w:hAnsi="David" w:cs="David" w:hint="cs"/>
          <w:sz w:val="24"/>
          <w:szCs w:val="24"/>
          <w:rtl/>
        </w:rPr>
        <w:t>" .</w:t>
      </w:r>
      <w:r w:rsidR="005D4E8C" w:rsidRPr="00E44875">
        <w:rPr>
          <w:rFonts w:ascii="David" w:hAnsi="David" w:cs="David" w:hint="cs"/>
          <w:b/>
          <w:bCs/>
          <w:sz w:val="24"/>
          <w:szCs w:val="24"/>
          <w:rtl/>
        </w:rPr>
        <w:t>לאחר בחינה ושקילה, של כל הנטען ובנסיבות שהוכחו בפניי, ראיתי לקבוע כי התובעים אינם זכאים לדמי שימוש ראויים בגין שימוש הנתבעים בנכס</w:t>
      </w:r>
      <w:r w:rsidR="005D4E8C" w:rsidRPr="00E44875">
        <w:rPr>
          <w:rFonts w:ascii="David" w:hAnsi="David" w:cs="David" w:hint="cs"/>
          <w:sz w:val="24"/>
          <w:szCs w:val="24"/>
          <w:rtl/>
        </w:rPr>
        <w:t>".</w:t>
      </w:r>
    </w:p>
    <w:p w:rsidR="005D4E8C" w:rsidRPr="007D6397" w:rsidRDefault="005D4E8C" w:rsidP="002931B7">
      <w:pPr>
        <w:pStyle w:val="af"/>
        <w:spacing w:line="360" w:lineRule="auto"/>
        <w:ind w:left="360"/>
        <w:jc w:val="both"/>
        <w:rPr>
          <w:rFonts w:ascii="David" w:hAnsi="David" w:cs="David"/>
          <w:sz w:val="24"/>
          <w:szCs w:val="24"/>
          <w:rtl/>
        </w:rPr>
      </w:pPr>
      <w:r w:rsidRPr="007D6397">
        <w:rPr>
          <w:rFonts w:ascii="David" w:hAnsi="David" w:cs="David" w:hint="cs"/>
          <w:sz w:val="24"/>
          <w:szCs w:val="24"/>
          <w:rtl/>
        </w:rPr>
        <w:t>"</w:t>
      </w:r>
      <w:r w:rsidRPr="007D6397">
        <w:rPr>
          <w:rFonts w:ascii="David" w:hAnsi="David" w:cs="David" w:hint="cs"/>
          <w:b/>
          <w:bCs/>
          <w:sz w:val="24"/>
          <w:szCs w:val="24"/>
          <w:rtl/>
        </w:rPr>
        <w:t>כאן המקום להבהיר,</w:t>
      </w:r>
      <w:r w:rsidR="00893D05">
        <w:rPr>
          <w:rFonts w:ascii="David" w:hAnsi="David" w:cs="David" w:hint="cs"/>
          <w:b/>
          <w:bCs/>
          <w:sz w:val="24"/>
          <w:szCs w:val="24"/>
          <w:rtl/>
        </w:rPr>
        <w:t xml:space="preserve"> כי הסכמתם של התובעים לשימוש הנתבע</w:t>
      </w:r>
      <w:r w:rsidRPr="007D6397">
        <w:rPr>
          <w:rFonts w:ascii="David" w:hAnsi="David" w:cs="David" w:hint="cs"/>
          <w:b/>
          <w:bCs/>
          <w:sz w:val="24"/>
          <w:szCs w:val="24"/>
          <w:rtl/>
        </w:rPr>
        <w:t>בנכס, לרבות קבלת דמי השכירות מהשכרת הנכס לצדדים שלישיים, כעולה מעדויות התובעים בהליך בעניין המתנה שהתנהל ביניהם, יש בה כדי לחס</w:t>
      </w:r>
      <w:r w:rsidR="00E44875" w:rsidRPr="007D6397">
        <w:rPr>
          <w:rFonts w:ascii="David" w:hAnsi="David" w:cs="David" w:hint="cs"/>
          <w:b/>
          <w:bCs/>
          <w:sz w:val="24"/>
          <w:szCs w:val="24"/>
          <w:rtl/>
        </w:rPr>
        <w:t>ום אותם מלתבוע דמי שימוש כלל הו</w:t>
      </w:r>
      <w:r w:rsidRPr="007D6397">
        <w:rPr>
          <w:rFonts w:ascii="David" w:hAnsi="David" w:cs="David" w:hint="cs"/>
          <w:b/>
          <w:bCs/>
          <w:sz w:val="24"/>
          <w:szCs w:val="24"/>
          <w:rtl/>
        </w:rPr>
        <w:t>א</w:t>
      </w:r>
      <w:r w:rsidR="00E44875" w:rsidRPr="007D6397">
        <w:rPr>
          <w:rFonts w:ascii="David" w:hAnsi="David" w:cs="David" w:hint="cs"/>
          <w:b/>
          <w:bCs/>
          <w:sz w:val="24"/>
          <w:szCs w:val="24"/>
          <w:rtl/>
        </w:rPr>
        <w:t>י</w:t>
      </w:r>
      <w:r w:rsidRPr="007D6397">
        <w:rPr>
          <w:rFonts w:ascii="David" w:hAnsi="David" w:cs="David" w:hint="cs"/>
          <w:b/>
          <w:bCs/>
          <w:sz w:val="24"/>
          <w:szCs w:val="24"/>
          <w:rtl/>
        </w:rPr>
        <w:t>ל ולא העלו טענותיהם אלה בבית המשפט לענייני משפחה בעת שהגישו תביעתם ולא ביקשו להכריז על הסכמתם זו כחלק מתנאי ההסכם המתנה, כבטלים. .לפיכך לטעמי, התובעים אינם זכאים לדמי שימוש והם קשורים בתנאי זה מתנאי</w:t>
      </w:r>
      <w:r w:rsidR="00432471">
        <w:rPr>
          <w:rFonts w:ascii="David" w:hAnsi="David" w:cs="David" w:hint="cs"/>
          <w:b/>
          <w:bCs/>
          <w:sz w:val="24"/>
          <w:szCs w:val="24"/>
          <w:rtl/>
        </w:rPr>
        <w:t xml:space="preserve"> הסכם המתנה מעת חתימתו ועד עתה.</w:t>
      </w:r>
      <w:r w:rsidRPr="007D6397">
        <w:rPr>
          <w:rFonts w:ascii="David" w:hAnsi="David" w:cs="David" w:hint="cs"/>
          <w:b/>
          <w:bCs/>
          <w:sz w:val="24"/>
          <w:szCs w:val="24"/>
          <w:rtl/>
        </w:rPr>
        <w:t xml:space="preserve">." </w:t>
      </w:r>
    </w:p>
    <w:p w:rsidR="000110A3" w:rsidRPr="000110A3" w:rsidRDefault="000110A3" w:rsidP="002931B7">
      <w:pPr>
        <w:pStyle w:val="af"/>
        <w:spacing w:line="360" w:lineRule="auto"/>
        <w:jc w:val="both"/>
        <w:rPr>
          <w:rFonts w:ascii="David" w:hAnsi="David" w:cs="David"/>
          <w:b/>
          <w:bCs/>
          <w:sz w:val="24"/>
          <w:szCs w:val="24"/>
          <w:rtl/>
        </w:rPr>
      </w:pPr>
    </w:p>
    <w:p w:rsidR="00E44875" w:rsidRDefault="005D4E8C" w:rsidP="002931B7">
      <w:pPr>
        <w:pStyle w:val="af"/>
        <w:numPr>
          <w:ilvl w:val="0"/>
          <w:numId w:val="2"/>
        </w:numPr>
        <w:spacing w:line="360" w:lineRule="auto"/>
        <w:jc w:val="both"/>
        <w:rPr>
          <w:rFonts w:ascii="David" w:hAnsi="David" w:cs="David"/>
          <w:sz w:val="24"/>
          <w:szCs w:val="24"/>
        </w:rPr>
      </w:pPr>
      <w:r w:rsidRPr="006A3A60">
        <w:rPr>
          <w:rFonts w:ascii="David" w:hAnsi="David" w:cs="David" w:hint="cs"/>
          <w:sz w:val="24"/>
          <w:szCs w:val="24"/>
          <w:rtl/>
        </w:rPr>
        <w:t xml:space="preserve">התובעים העלו טענות, על גבי טענות, כנגד קביעה זו. </w:t>
      </w:r>
    </w:p>
    <w:p w:rsidR="005D4E8C" w:rsidRPr="00115CE8" w:rsidRDefault="00E44875" w:rsidP="002931B7">
      <w:pPr>
        <w:pStyle w:val="af"/>
        <w:spacing w:line="360" w:lineRule="auto"/>
        <w:ind w:left="360"/>
        <w:jc w:val="both"/>
        <w:rPr>
          <w:rFonts w:ascii="David" w:hAnsi="David" w:cs="David"/>
          <w:sz w:val="24"/>
          <w:szCs w:val="24"/>
        </w:rPr>
      </w:pPr>
      <w:r>
        <w:rPr>
          <w:rFonts w:ascii="David" w:hAnsi="David" w:cs="David" w:hint="cs"/>
          <w:sz w:val="24"/>
          <w:szCs w:val="24"/>
          <w:rtl/>
        </w:rPr>
        <w:t>לשיטתם,</w:t>
      </w:r>
      <w:r w:rsidR="005D4E8C" w:rsidRPr="00E44875">
        <w:rPr>
          <w:rFonts w:ascii="David" w:hAnsi="David" w:cs="David" w:hint="cs"/>
          <w:sz w:val="24"/>
          <w:szCs w:val="24"/>
          <w:rtl/>
        </w:rPr>
        <w:t xml:space="preserve"> הם לא יכלו כבר בתביעתם לפסק דין הצהרתי, בעודם מבררים את זכותם הקני</w:t>
      </w:r>
      <w:r w:rsidR="00115CE8">
        <w:rPr>
          <w:rFonts w:ascii="David" w:hAnsi="David" w:cs="David" w:hint="cs"/>
          <w:sz w:val="24"/>
          <w:szCs w:val="24"/>
          <w:rtl/>
        </w:rPr>
        <w:t xml:space="preserve">ינית, להעלות טענות ביחס לדמי שימוש מהנכס </w:t>
      </w:r>
      <w:r w:rsidR="005D4E8C" w:rsidRPr="00E44875">
        <w:rPr>
          <w:rFonts w:ascii="David" w:hAnsi="David" w:cs="David" w:hint="cs"/>
          <w:sz w:val="24"/>
          <w:szCs w:val="24"/>
          <w:rtl/>
        </w:rPr>
        <w:t xml:space="preserve"> מאחר והנכס לא היה רשום על שמם בשלב זה, וקביעת הבוררת בעני</w:t>
      </w:r>
      <w:r w:rsidR="00115CE8">
        <w:rPr>
          <w:rFonts w:ascii="David" w:hAnsi="David" w:cs="David" w:hint="cs"/>
          <w:sz w:val="24"/>
          <w:szCs w:val="24"/>
          <w:rtl/>
        </w:rPr>
        <w:t>י</w:t>
      </w:r>
      <w:r w:rsidR="005D4E8C" w:rsidRPr="00E44875">
        <w:rPr>
          <w:rFonts w:ascii="David" w:hAnsi="David" w:cs="David" w:hint="cs"/>
          <w:sz w:val="24"/>
          <w:szCs w:val="24"/>
          <w:rtl/>
        </w:rPr>
        <w:t>ן זה אינה מתקבלת על הדעת .</w:t>
      </w:r>
      <w:r w:rsidR="005D4E8C" w:rsidRPr="00115CE8">
        <w:rPr>
          <w:rFonts w:ascii="David" w:hAnsi="David" w:cs="David" w:hint="cs"/>
          <w:sz w:val="24"/>
          <w:szCs w:val="24"/>
          <w:rtl/>
        </w:rPr>
        <w:t>מדובר בקביעה החותרת תחת ההליך כולו, פוגעת בעקרונות הצדק הטבעי ו</w:t>
      </w:r>
      <w:r w:rsidR="00432471">
        <w:rPr>
          <w:rFonts w:ascii="David" w:hAnsi="David" w:cs="David" w:hint="cs"/>
          <w:sz w:val="24"/>
          <w:szCs w:val="24"/>
          <w:rtl/>
        </w:rPr>
        <w:t>אף סותרת את תקנת הציבור;</w:t>
      </w:r>
      <w:r w:rsidR="005D4E8C" w:rsidRPr="00115CE8">
        <w:rPr>
          <w:rFonts w:ascii="David" w:hAnsi="David" w:cs="David" w:hint="cs"/>
          <w:sz w:val="24"/>
          <w:szCs w:val="24"/>
          <w:rtl/>
        </w:rPr>
        <w:t xml:space="preserve"> כן, קביעת הבוררת הינה בניגוד להכרעת בית </w:t>
      </w:r>
      <w:r w:rsidR="00432471">
        <w:rPr>
          <w:rFonts w:ascii="David" w:hAnsi="David" w:cs="David" w:hint="cs"/>
          <w:sz w:val="24"/>
          <w:szCs w:val="24"/>
          <w:rtl/>
        </w:rPr>
        <w:t>ה</w:t>
      </w:r>
      <w:r w:rsidR="005D4E8C" w:rsidRPr="00115CE8">
        <w:rPr>
          <w:rFonts w:ascii="David" w:hAnsi="David" w:cs="David" w:hint="cs"/>
          <w:sz w:val="24"/>
          <w:szCs w:val="24"/>
          <w:rtl/>
        </w:rPr>
        <w:t>משפט המחוזי ומאיינת אותה, והיא מחליטה באופן סלקטיבי להתיר התחשבנות ביחס לשיפוץ</w:t>
      </w:r>
      <w:r w:rsidR="00432471">
        <w:rPr>
          <w:rFonts w:ascii="David" w:hAnsi="David" w:cs="David" w:hint="cs"/>
          <w:sz w:val="24"/>
          <w:szCs w:val="24"/>
          <w:rtl/>
        </w:rPr>
        <w:t xml:space="preserve"> שביצעו הנתבעים, </w:t>
      </w:r>
      <w:r w:rsidR="005D4E8C" w:rsidRPr="00115CE8">
        <w:rPr>
          <w:rFonts w:ascii="David" w:hAnsi="David" w:cs="David" w:hint="cs"/>
          <w:sz w:val="24"/>
          <w:szCs w:val="24"/>
          <w:rtl/>
        </w:rPr>
        <w:t xml:space="preserve"> ולאיין התחשבנות ביחס לדמי שימוש</w:t>
      </w:r>
      <w:r w:rsidR="00115CE8">
        <w:rPr>
          <w:rFonts w:ascii="David" w:hAnsi="David" w:cs="David" w:hint="cs"/>
          <w:sz w:val="24"/>
          <w:szCs w:val="24"/>
          <w:rtl/>
        </w:rPr>
        <w:t>,</w:t>
      </w:r>
      <w:r w:rsidR="005D4E8C" w:rsidRPr="00115CE8">
        <w:rPr>
          <w:rFonts w:ascii="David" w:hAnsi="David" w:cs="David" w:hint="cs"/>
          <w:sz w:val="24"/>
          <w:szCs w:val="24"/>
          <w:rtl/>
        </w:rPr>
        <w:t xml:space="preserve">  ל</w:t>
      </w:r>
      <w:r w:rsidR="00115CE8">
        <w:rPr>
          <w:rFonts w:ascii="David" w:hAnsi="David" w:cs="David" w:hint="cs"/>
          <w:sz w:val="24"/>
          <w:szCs w:val="24"/>
          <w:rtl/>
        </w:rPr>
        <w:t>מרות שהדבר הותר בפסק הדין המחוזי.</w:t>
      </w:r>
      <w:r w:rsidR="00432471">
        <w:rPr>
          <w:rFonts w:ascii="David" w:hAnsi="David" w:cs="David" w:hint="cs"/>
          <w:sz w:val="24"/>
          <w:szCs w:val="24"/>
          <w:rtl/>
        </w:rPr>
        <w:t xml:space="preserve"> </w:t>
      </w:r>
      <w:r w:rsidR="005D4E8C" w:rsidRPr="00115CE8">
        <w:rPr>
          <w:rFonts w:ascii="David" w:hAnsi="David" w:cs="David" w:hint="cs"/>
          <w:sz w:val="24"/>
          <w:szCs w:val="24"/>
          <w:rtl/>
        </w:rPr>
        <w:t xml:space="preserve">מכאן </w:t>
      </w:r>
      <w:r w:rsidR="005D4E8C" w:rsidRPr="000110A3">
        <w:rPr>
          <w:rFonts w:ascii="David" w:hAnsi="David" w:cs="David" w:hint="cs"/>
          <w:sz w:val="24"/>
          <w:szCs w:val="24"/>
          <w:rtl/>
        </w:rPr>
        <w:t>יש</w:t>
      </w:r>
      <w:r w:rsidR="005D4E8C" w:rsidRPr="00115CE8">
        <w:rPr>
          <w:rFonts w:ascii="David" w:hAnsi="David" w:cs="David" w:hint="cs"/>
          <w:b/>
          <w:bCs/>
          <w:sz w:val="24"/>
          <w:szCs w:val="24"/>
          <w:rtl/>
        </w:rPr>
        <w:t xml:space="preserve"> </w:t>
      </w:r>
      <w:r w:rsidR="00432471">
        <w:rPr>
          <w:rFonts w:ascii="David" w:hAnsi="David" w:cs="David" w:hint="cs"/>
          <w:sz w:val="24"/>
          <w:szCs w:val="24"/>
          <w:rtl/>
        </w:rPr>
        <w:t xml:space="preserve">לבטל </w:t>
      </w:r>
      <w:r w:rsidR="005D4E8C" w:rsidRPr="00115CE8">
        <w:rPr>
          <w:rFonts w:ascii="David" w:hAnsi="David" w:cs="David" w:hint="cs"/>
          <w:sz w:val="24"/>
          <w:szCs w:val="24"/>
          <w:rtl/>
        </w:rPr>
        <w:t xml:space="preserve"> את פסק הבוררות מכוח סעיפים 24(9) ו24(10) לחוק הבוררות. </w:t>
      </w:r>
    </w:p>
    <w:p w:rsidR="005D4E8C" w:rsidRPr="006F65FA" w:rsidRDefault="005D4E8C" w:rsidP="002931B7">
      <w:pPr>
        <w:pStyle w:val="af"/>
        <w:spacing w:line="360" w:lineRule="auto"/>
        <w:jc w:val="both"/>
        <w:rPr>
          <w:rFonts w:ascii="David" w:hAnsi="David" w:cs="David"/>
          <w:sz w:val="24"/>
          <w:szCs w:val="24"/>
          <w:rtl/>
        </w:rPr>
      </w:pPr>
    </w:p>
    <w:p w:rsidR="005D4E8C" w:rsidRDefault="005D4E8C" w:rsidP="002931B7">
      <w:pPr>
        <w:pStyle w:val="af"/>
        <w:numPr>
          <w:ilvl w:val="0"/>
          <w:numId w:val="2"/>
        </w:numPr>
        <w:spacing w:line="360" w:lineRule="auto"/>
        <w:jc w:val="both"/>
        <w:rPr>
          <w:rFonts w:ascii="David" w:hAnsi="David" w:cs="David"/>
          <w:sz w:val="24"/>
          <w:szCs w:val="24"/>
        </w:rPr>
      </w:pPr>
      <w:r w:rsidRPr="00115CE8">
        <w:rPr>
          <w:rFonts w:ascii="David" w:hAnsi="David" w:cs="David" w:hint="cs"/>
          <w:sz w:val="24"/>
          <w:szCs w:val="24"/>
          <w:rtl/>
        </w:rPr>
        <w:t>הנתבעים מתנגדים לטענות התובעים; הם לא הוכיחו עילות ביטול לפי סעיפים 24(9) ו(10) לחוק הבוררות. לש</w:t>
      </w:r>
      <w:r w:rsidR="00115CE8">
        <w:rPr>
          <w:rFonts w:ascii="David" w:hAnsi="David" w:cs="David" w:hint="cs"/>
          <w:sz w:val="24"/>
          <w:szCs w:val="24"/>
          <w:rtl/>
        </w:rPr>
        <w:t>יטתם הבוררת פסק</w:t>
      </w:r>
      <w:r w:rsidR="003E3DF5">
        <w:rPr>
          <w:rFonts w:ascii="David" w:hAnsi="David" w:cs="David" w:hint="cs"/>
          <w:sz w:val="24"/>
          <w:szCs w:val="24"/>
          <w:rtl/>
        </w:rPr>
        <w:t>ה</w:t>
      </w:r>
      <w:r w:rsidR="00115CE8">
        <w:rPr>
          <w:rFonts w:ascii="David" w:hAnsi="David" w:cs="David" w:hint="cs"/>
          <w:sz w:val="24"/>
          <w:szCs w:val="24"/>
          <w:rtl/>
        </w:rPr>
        <w:t xml:space="preserve"> לפי שיקול דעתה</w:t>
      </w:r>
      <w:r w:rsidR="003E3DF5">
        <w:rPr>
          <w:rFonts w:ascii="David" w:hAnsi="David" w:cs="David" w:hint="cs"/>
          <w:sz w:val="24"/>
          <w:szCs w:val="24"/>
          <w:rtl/>
        </w:rPr>
        <w:t>.</w:t>
      </w:r>
      <w:r w:rsidR="00115CE8">
        <w:rPr>
          <w:rFonts w:ascii="David" w:hAnsi="David" w:cs="David" w:hint="cs"/>
          <w:sz w:val="24"/>
          <w:szCs w:val="24"/>
          <w:rtl/>
        </w:rPr>
        <w:t xml:space="preserve"> </w:t>
      </w:r>
    </w:p>
    <w:p w:rsidR="003E3DF5" w:rsidRPr="003E3DF5" w:rsidRDefault="003E3DF5" w:rsidP="002931B7">
      <w:pPr>
        <w:pStyle w:val="af"/>
        <w:spacing w:line="360" w:lineRule="auto"/>
        <w:ind w:left="360"/>
        <w:jc w:val="both"/>
        <w:rPr>
          <w:rFonts w:ascii="David" w:hAnsi="David" w:cs="David"/>
          <w:sz w:val="24"/>
          <w:szCs w:val="24"/>
          <w:rtl/>
        </w:rPr>
      </w:pPr>
    </w:p>
    <w:p w:rsidR="001150EC" w:rsidRPr="00076ECF" w:rsidRDefault="005D4E8C" w:rsidP="002931B7">
      <w:pPr>
        <w:pStyle w:val="af"/>
        <w:numPr>
          <w:ilvl w:val="0"/>
          <w:numId w:val="2"/>
        </w:numPr>
        <w:spacing w:line="360" w:lineRule="auto"/>
        <w:jc w:val="both"/>
        <w:rPr>
          <w:rFonts w:ascii="David" w:hAnsi="David" w:cs="David"/>
          <w:sz w:val="24"/>
          <w:szCs w:val="24"/>
        </w:rPr>
      </w:pPr>
      <w:r w:rsidRPr="006A3A60">
        <w:rPr>
          <w:rFonts w:ascii="David" w:hAnsi="David" w:cs="David" w:hint="cs"/>
          <w:sz w:val="24"/>
          <w:szCs w:val="24"/>
          <w:rtl/>
        </w:rPr>
        <w:t>לאחר שבח</w:t>
      </w:r>
      <w:r w:rsidR="00432471">
        <w:rPr>
          <w:rFonts w:ascii="David" w:hAnsi="David" w:cs="David" w:hint="cs"/>
          <w:sz w:val="24"/>
          <w:szCs w:val="24"/>
          <w:rtl/>
        </w:rPr>
        <w:t xml:space="preserve">נתי את טענות הצדדים, אני קובעת </w:t>
      </w:r>
      <w:r w:rsidRPr="006A3A60">
        <w:rPr>
          <w:rFonts w:ascii="David" w:hAnsi="David" w:cs="David" w:hint="cs"/>
          <w:sz w:val="24"/>
          <w:szCs w:val="24"/>
          <w:rtl/>
        </w:rPr>
        <w:t>כי</w:t>
      </w:r>
      <w:r w:rsidR="00432471">
        <w:rPr>
          <w:rFonts w:ascii="David" w:hAnsi="David" w:cs="David" w:hint="cs"/>
          <w:sz w:val="24"/>
          <w:szCs w:val="24"/>
          <w:rtl/>
        </w:rPr>
        <w:t>,</w:t>
      </w:r>
      <w:r w:rsidRPr="006A3A60">
        <w:rPr>
          <w:rFonts w:ascii="David" w:hAnsi="David" w:cs="David" w:hint="cs"/>
          <w:sz w:val="24"/>
          <w:szCs w:val="24"/>
          <w:rtl/>
        </w:rPr>
        <w:t xml:space="preserve"> התובעים לא הצליחו </w:t>
      </w:r>
      <w:r w:rsidR="00432471">
        <w:rPr>
          <w:rFonts w:ascii="David" w:hAnsi="David" w:cs="David" w:hint="cs"/>
          <w:sz w:val="24"/>
          <w:szCs w:val="24"/>
          <w:rtl/>
        </w:rPr>
        <w:t>להוכיח טענתם כי פסק הבוררת נוגד</w:t>
      </w:r>
      <w:r w:rsidRPr="006A3A60">
        <w:rPr>
          <w:rFonts w:ascii="David" w:hAnsi="David" w:cs="David" w:hint="cs"/>
          <w:sz w:val="24"/>
          <w:szCs w:val="24"/>
          <w:rtl/>
        </w:rPr>
        <w:t xml:space="preserve"> את </w:t>
      </w:r>
      <w:r w:rsidR="00076ECF">
        <w:rPr>
          <w:rFonts w:ascii="David" w:hAnsi="David" w:cs="David" w:hint="cs"/>
          <w:sz w:val="24"/>
          <w:szCs w:val="24"/>
          <w:rtl/>
        </w:rPr>
        <w:t>תקנת הציבור</w:t>
      </w:r>
      <w:r w:rsidR="00432471">
        <w:rPr>
          <w:rFonts w:ascii="David" w:hAnsi="David" w:cs="David" w:hint="cs"/>
          <w:sz w:val="24"/>
          <w:szCs w:val="24"/>
          <w:rtl/>
        </w:rPr>
        <w:t>,</w:t>
      </w:r>
      <w:r w:rsidR="00076ECF">
        <w:rPr>
          <w:rFonts w:ascii="David" w:hAnsi="David" w:cs="David" w:hint="cs"/>
          <w:sz w:val="24"/>
          <w:szCs w:val="24"/>
          <w:rtl/>
        </w:rPr>
        <w:t xml:space="preserve"> או  </w:t>
      </w:r>
      <w:r w:rsidR="00076ECF" w:rsidRPr="00076ECF">
        <w:rPr>
          <w:rFonts w:ascii="David" w:hAnsi="David" w:cs="David"/>
          <w:sz w:val="24"/>
          <w:szCs w:val="24"/>
          <w:rtl/>
        </w:rPr>
        <w:t>קיימת עילה שעל פיה היה בית משפט מבטל פסק דין סופי שאין עליו ערעור עוד.</w:t>
      </w:r>
    </w:p>
    <w:p w:rsidR="005D4E8C" w:rsidRPr="001150EC" w:rsidRDefault="005D4E8C" w:rsidP="002931B7">
      <w:pPr>
        <w:pStyle w:val="af"/>
        <w:spacing w:line="360" w:lineRule="auto"/>
        <w:ind w:left="360"/>
        <w:jc w:val="both"/>
        <w:rPr>
          <w:rFonts w:ascii="David" w:hAnsi="David" w:cs="David"/>
          <w:b/>
          <w:bCs/>
          <w:sz w:val="24"/>
          <w:szCs w:val="24"/>
          <w:u w:val="single"/>
        </w:rPr>
      </w:pPr>
      <w:r w:rsidRPr="001150EC">
        <w:rPr>
          <w:rFonts w:ascii="David" w:hAnsi="David" w:cs="David" w:hint="cs"/>
          <w:sz w:val="24"/>
          <w:szCs w:val="24"/>
          <w:rtl/>
        </w:rPr>
        <w:t>מקרה דנן אינו נכנס לגדר אותם מקרים חריגים,  המקימים עילה לביטול לפי סעיף</w:t>
      </w:r>
      <w:r w:rsidR="00432471">
        <w:rPr>
          <w:rFonts w:ascii="David" w:hAnsi="David" w:cs="David" w:hint="cs"/>
          <w:sz w:val="24"/>
          <w:szCs w:val="24"/>
          <w:rtl/>
        </w:rPr>
        <w:t>24(9) או (10) ,</w:t>
      </w:r>
      <w:r w:rsidRPr="001150EC">
        <w:rPr>
          <w:rFonts w:ascii="David" w:hAnsi="David" w:cs="David" w:hint="cs"/>
          <w:sz w:val="24"/>
          <w:szCs w:val="24"/>
          <w:rtl/>
        </w:rPr>
        <w:t xml:space="preserve"> והוא </w:t>
      </w:r>
      <w:r w:rsidR="00115CE8" w:rsidRPr="001150EC">
        <w:rPr>
          <w:rFonts w:ascii="David" w:hAnsi="David" w:cs="David" w:hint="cs"/>
          <w:sz w:val="24"/>
          <w:szCs w:val="24"/>
          <w:rtl/>
        </w:rPr>
        <w:t>אף רחוק מהם כמרחק</w:t>
      </w:r>
      <w:r w:rsidRPr="001150EC">
        <w:rPr>
          <w:rFonts w:ascii="David" w:hAnsi="David" w:cs="David" w:hint="cs"/>
          <w:sz w:val="24"/>
          <w:szCs w:val="24"/>
          <w:rtl/>
        </w:rPr>
        <w:t xml:space="preserve"> מזרח ממערב.</w:t>
      </w:r>
    </w:p>
    <w:p w:rsidR="003E3DF5" w:rsidRDefault="003E3DF5" w:rsidP="002931B7">
      <w:pPr>
        <w:pStyle w:val="af"/>
        <w:spacing w:line="360" w:lineRule="auto"/>
        <w:ind w:left="360"/>
        <w:jc w:val="both"/>
        <w:rPr>
          <w:rFonts w:ascii="David" w:hAnsi="David" w:cs="David"/>
          <w:b/>
          <w:bCs/>
          <w:sz w:val="24"/>
          <w:szCs w:val="24"/>
          <w:u w:val="single"/>
        </w:rPr>
      </w:pPr>
    </w:p>
    <w:p w:rsidR="00C03449" w:rsidRPr="00371355" w:rsidRDefault="00115CE8"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לפי ההלכה הפסוקה</w:t>
      </w:r>
      <w:r w:rsidR="00C03449">
        <w:rPr>
          <w:rFonts w:ascii="David" w:hAnsi="David" w:cs="David" w:hint="cs"/>
          <w:sz w:val="24"/>
          <w:szCs w:val="24"/>
          <w:rtl/>
        </w:rPr>
        <w:t>,</w:t>
      </w:r>
      <w:r w:rsidR="00C03449" w:rsidRPr="00C03449">
        <w:rPr>
          <w:rFonts w:ascii="David" w:hAnsi="David" w:cs="David"/>
          <w:sz w:val="24"/>
          <w:szCs w:val="24"/>
          <w:rtl/>
        </w:rPr>
        <w:t xml:space="preserve"> עילת הביטול שבסעיף 24(9)</w:t>
      </w:r>
      <w:r w:rsidR="009623EB">
        <w:rPr>
          <w:rFonts w:ascii="David" w:hAnsi="David" w:cs="David" w:hint="cs"/>
          <w:sz w:val="24"/>
          <w:szCs w:val="24"/>
          <w:rtl/>
        </w:rPr>
        <w:t xml:space="preserve"> (10)</w:t>
      </w:r>
      <w:r w:rsidR="009623EB">
        <w:rPr>
          <w:rFonts w:ascii="David" w:hAnsi="David" w:cs="David"/>
          <w:sz w:val="24"/>
          <w:szCs w:val="24"/>
          <w:rtl/>
        </w:rPr>
        <w:t xml:space="preserve"> לחוק הבוררות, שעניינ</w:t>
      </w:r>
      <w:r w:rsidR="009623EB">
        <w:rPr>
          <w:rFonts w:ascii="David" w:hAnsi="David" w:cs="David" w:hint="cs"/>
          <w:sz w:val="24"/>
          <w:szCs w:val="24"/>
          <w:rtl/>
        </w:rPr>
        <w:t>ן</w:t>
      </w:r>
      <w:r w:rsidR="00C03449" w:rsidRPr="00C03449">
        <w:rPr>
          <w:rFonts w:ascii="David" w:hAnsi="David" w:cs="David"/>
          <w:sz w:val="24"/>
          <w:szCs w:val="24"/>
          <w:rtl/>
        </w:rPr>
        <w:t xml:space="preserve"> ביטול פסק בור</w:t>
      </w:r>
      <w:r w:rsidR="00371355">
        <w:rPr>
          <w:rFonts w:ascii="David" w:hAnsi="David" w:cs="David"/>
          <w:sz w:val="24"/>
          <w:szCs w:val="24"/>
          <w:rtl/>
        </w:rPr>
        <w:t>רות בהיותו נוגד את תקנת הציבור</w:t>
      </w:r>
      <w:r w:rsidR="00371355">
        <w:rPr>
          <w:rFonts w:ascii="David" w:hAnsi="David" w:cs="David" w:hint="cs"/>
          <w:sz w:val="24"/>
          <w:szCs w:val="24"/>
          <w:rtl/>
        </w:rPr>
        <w:t xml:space="preserve">, </w:t>
      </w:r>
      <w:r w:rsidR="009623EB">
        <w:rPr>
          <w:rFonts w:ascii="David" w:hAnsi="David" w:cs="David" w:hint="cs"/>
          <w:sz w:val="24"/>
          <w:szCs w:val="24"/>
          <w:rtl/>
        </w:rPr>
        <w:t>או אם נפגעו עקרונות כללי הצדק הטבעי,</w:t>
      </w:r>
      <w:r w:rsidR="00371355">
        <w:rPr>
          <w:rFonts w:ascii="David" w:hAnsi="David" w:cs="David" w:hint="cs"/>
          <w:sz w:val="24"/>
          <w:szCs w:val="24"/>
          <w:rtl/>
        </w:rPr>
        <w:t xml:space="preserve"> </w:t>
      </w:r>
      <w:r w:rsidR="00C03449" w:rsidRPr="00C03449">
        <w:rPr>
          <w:rFonts w:ascii="David" w:hAnsi="David" w:cs="David"/>
          <w:sz w:val="24"/>
          <w:szCs w:val="24"/>
          <w:rtl/>
        </w:rPr>
        <w:t>מפורש</w:t>
      </w:r>
      <w:r w:rsidR="009623EB">
        <w:rPr>
          <w:rFonts w:ascii="David" w:hAnsi="David" w:cs="David" w:hint="cs"/>
          <w:sz w:val="24"/>
          <w:szCs w:val="24"/>
          <w:rtl/>
        </w:rPr>
        <w:t>ו</w:t>
      </w:r>
      <w:r w:rsidR="00C03449" w:rsidRPr="00C03449">
        <w:rPr>
          <w:rFonts w:ascii="David" w:hAnsi="David" w:cs="David"/>
          <w:sz w:val="24"/>
          <w:szCs w:val="24"/>
          <w:rtl/>
        </w:rPr>
        <w:t>ת בצמצום</w:t>
      </w:r>
      <w:r w:rsidR="00371355">
        <w:rPr>
          <w:rFonts w:ascii="David" w:hAnsi="David" w:cs="David" w:hint="cs"/>
          <w:sz w:val="24"/>
          <w:szCs w:val="24"/>
          <w:rtl/>
        </w:rPr>
        <w:t>,</w:t>
      </w:r>
      <w:r w:rsidR="00C03449" w:rsidRPr="00C03449">
        <w:rPr>
          <w:rFonts w:ascii="David" w:hAnsi="David" w:cs="David"/>
          <w:sz w:val="24"/>
          <w:szCs w:val="24"/>
          <w:rtl/>
        </w:rPr>
        <w:t xml:space="preserve"> </w:t>
      </w:r>
      <w:r w:rsidR="00C03449" w:rsidRPr="00C03449">
        <w:rPr>
          <w:rFonts w:ascii="David" w:hAnsi="David" w:cs="David"/>
          <w:sz w:val="24"/>
          <w:szCs w:val="24"/>
          <w:rtl/>
        </w:rPr>
        <w:lastRenderedPageBreak/>
        <w:t>והמקרים בהם יבוטל פסק בוררות מכוח ע</w:t>
      </w:r>
      <w:r w:rsidR="009623EB">
        <w:rPr>
          <w:rFonts w:ascii="David" w:hAnsi="David" w:cs="David"/>
          <w:sz w:val="24"/>
          <w:szCs w:val="24"/>
          <w:rtl/>
        </w:rPr>
        <w:t>יל</w:t>
      </w:r>
      <w:r w:rsidR="009623EB">
        <w:rPr>
          <w:rFonts w:ascii="David" w:hAnsi="David" w:cs="David" w:hint="cs"/>
          <w:sz w:val="24"/>
          <w:szCs w:val="24"/>
          <w:rtl/>
        </w:rPr>
        <w:t>ות</w:t>
      </w:r>
      <w:r w:rsidR="009623EB">
        <w:rPr>
          <w:rFonts w:ascii="David" w:hAnsi="David" w:cs="David"/>
          <w:sz w:val="24"/>
          <w:szCs w:val="24"/>
          <w:rtl/>
        </w:rPr>
        <w:t xml:space="preserve"> </w:t>
      </w:r>
      <w:r w:rsidR="009623EB">
        <w:rPr>
          <w:rFonts w:ascii="David" w:hAnsi="David" w:cs="David" w:hint="cs"/>
          <w:sz w:val="24"/>
          <w:szCs w:val="24"/>
          <w:rtl/>
        </w:rPr>
        <w:t>אלה</w:t>
      </w:r>
      <w:r w:rsidR="003E3DF5">
        <w:rPr>
          <w:rFonts w:ascii="David" w:hAnsi="David" w:cs="David"/>
          <w:sz w:val="24"/>
          <w:szCs w:val="24"/>
          <w:rtl/>
        </w:rPr>
        <w:t xml:space="preserve"> הם חריגים שבחריגי</w:t>
      </w:r>
      <w:r w:rsidR="003E3DF5">
        <w:rPr>
          <w:rFonts w:ascii="David" w:hAnsi="David" w:cs="David" w:hint="cs"/>
          <w:sz w:val="24"/>
          <w:szCs w:val="24"/>
          <w:rtl/>
        </w:rPr>
        <w:t>ם.</w:t>
      </w:r>
      <w:r w:rsidR="009623EB">
        <w:rPr>
          <w:rFonts w:hint="cs"/>
          <w:rtl/>
        </w:rPr>
        <w:t>(</w:t>
      </w:r>
      <w:r w:rsidR="003E3DF5">
        <w:rPr>
          <w:rFonts w:hint="cs"/>
          <w:rtl/>
        </w:rPr>
        <w:t>ראה-</w:t>
      </w:r>
      <w:r w:rsidR="009623EB" w:rsidRPr="009623EB">
        <w:rPr>
          <w:rtl/>
        </w:rPr>
        <w:t xml:space="preserve"> </w:t>
      </w:r>
      <w:r w:rsidR="009623EB" w:rsidRPr="009623EB">
        <w:rPr>
          <w:rFonts w:ascii="David" w:hAnsi="David" w:cs="David"/>
          <w:sz w:val="24"/>
          <w:szCs w:val="24"/>
          <w:rtl/>
        </w:rPr>
        <w:t>ע"א 6727/10 עיריית אופקים נ' האוסף חברה לשירותים בע"מ</w:t>
      </w:r>
      <w:r w:rsidR="009623EB">
        <w:rPr>
          <w:rFonts w:ascii="David" w:hAnsi="David" w:cs="David" w:hint="cs"/>
          <w:sz w:val="24"/>
          <w:szCs w:val="24"/>
          <w:rtl/>
        </w:rPr>
        <w:t>,</w:t>
      </w:r>
      <w:r w:rsidR="003E3DF5" w:rsidRPr="003E3DF5">
        <w:rPr>
          <w:rtl/>
        </w:rPr>
        <w:t xml:space="preserve"> </w:t>
      </w:r>
      <w:r w:rsidR="003E3DF5" w:rsidRPr="003E3DF5">
        <w:rPr>
          <w:rFonts w:ascii="David" w:hAnsi="David" w:cs="David"/>
          <w:sz w:val="24"/>
          <w:szCs w:val="24"/>
          <w:rtl/>
        </w:rPr>
        <w:t>רע"א 6428/18 מאיר עזרן נ' בר מור יזמים בע"מ</w:t>
      </w:r>
      <w:r w:rsidR="00371355">
        <w:rPr>
          <w:rFonts w:ascii="David" w:hAnsi="David" w:cs="David" w:hint="cs"/>
          <w:sz w:val="24"/>
          <w:szCs w:val="24"/>
          <w:rtl/>
        </w:rPr>
        <w:t>).</w:t>
      </w:r>
      <w:r w:rsidR="00C03449" w:rsidRPr="00371355">
        <w:rPr>
          <w:rFonts w:ascii="David" w:hAnsi="David" w:cs="David" w:hint="cs"/>
          <w:sz w:val="24"/>
          <w:szCs w:val="24"/>
          <w:rtl/>
        </w:rPr>
        <w:t>ב</w:t>
      </w:r>
      <w:r w:rsidR="00C03449" w:rsidRPr="00371355">
        <w:rPr>
          <w:rFonts w:ascii="David" w:hAnsi="David" w:cs="David"/>
          <w:sz w:val="24"/>
          <w:szCs w:val="24"/>
          <w:rtl/>
        </w:rPr>
        <w:t xml:space="preserve">רע"א 470/08 כרמל התפלה בע"מ נ' מדינת ישראל - משרד האוצר </w:t>
      </w:r>
      <w:r w:rsidR="00C03449" w:rsidRPr="00371355">
        <w:rPr>
          <w:rFonts w:ascii="David" w:hAnsi="David" w:cs="David" w:hint="cs"/>
          <w:sz w:val="24"/>
          <w:szCs w:val="24"/>
          <w:rtl/>
        </w:rPr>
        <w:t>נקבע:</w:t>
      </w:r>
    </w:p>
    <w:p w:rsidR="00C03449" w:rsidRDefault="00C03449" w:rsidP="002931B7">
      <w:pPr>
        <w:pStyle w:val="af"/>
        <w:spacing w:line="360" w:lineRule="auto"/>
        <w:ind w:left="360"/>
        <w:jc w:val="both"/>
        <w:rPr>
          <w:rFonts w:ascii="David" w:hAnsi="David" w:cs="David"/>
          <w:b/>
          <w:bCs/>
          <w:sz w:val="24"/>
          <w:szCs w:val="24"/>
          <w:rtl/>
        </w:rPr>
      </w:pPr>
      <w:r w:rsidRPr="00C03449">
        <w:rPr>
          <w:rFonts w:ascii="David" w:hAnsi="David" w:cs="David"/>
          <w:b/>
          <w:bCs/>
          <w:sz w:val="24"/>
          <w:szCs w:val="24"/>
          <w:rtl/>
        </w:rPr>
        <w:t>"בהתחשב בטיבו של המונח "תקנת הציבור" בשילוב עם הגישה המצמצמת לפרשנותן של עילות הביטול הקבועות בסעיף 24 לחוק הבוררות, הרי שבית המשפט יבטל פסק בוררות אשר תוכנו נוגד את תקנת הציבור מקום שיש בתוכנו של פסק הבוררות "כדי לפגוע באינטרסים, בעקרונות ובערכים שחברתנו מבקשת לקיים ולשמר</w:t>
      </w:r>
      <w:r>
        <w:rPr>
          <w:rFonts w:ascii="David" w:hAnsi="David" w:cs="David" w:hint="cs"/>
          <w:b/>
          <w:bCs/>
          <w:sz w:val="24"/>
          <w:szCs w:val="24"/>
          <w:rtl/>
        </w:rPr>
        <w:t>"</w:t>
      </w:r>
      <w:r w:rsidR="009623EB">
        <w:rPr>
          <w:rFonts w:ascii="David" w:hAnsi="David" w:cs="David" w:hint="cs"/>
          <w:b/>
          <w:bCs/>
          <w:sz w:val="24"/>
          <w:szCs w:val="24"/>
          <w:rtl/>
        </w:rPr>
        <w:t>.</w:t>
      </w:r>
    </w:p>
    <w:p w:rsidR="009623EB" w:rsidRPr="009623EB" w:rsidRDefault="009623EB" w:rsidP="002931B7">
      <w:pPr>
        <w:pStyle w:val="af"/>
        <w:spacing w:line="360" w:lineRule="auto"/>
        <w:ind w:left="360"/>
        <w:jc w:val="both"/>
        <w:rPr>
          <w:rFonts w:ascii="David" w:hAnsi="David" w:cs="David"/>
          <w:b/>
          <w:bCs/>
          <w:sz w:val="24"/>
          <w:szCs w:val="24"/>
          <w:rtl/>
        </w:rPr>
      </w:pPr>
      <w:r w:rsidRPr="009623EB">
        <w:rPr>
          <w:rFonts w:ascii="David" w:hAnsi="David" w:cs="David" w:hint="cs"/>
          <w:sz w:val="24"/>
          <w:szCs w:val="24"/>
          <w:rtl/>
        </w:rPr>
        <w:t>ב</w:t>
      </w:r>
      <w:r w:rsidRPr="009623EB">
        <w:rPr>
          <w:rFonts w:ascii="David" w:hAnsi="David" w:cs="David"/>
          <w:sz w:val="24"/>
          <w:szCs w:val="24"/>
          <w:rtl/>
        </w:rPr>
        <w:t>רע"א 4</w:t>
      </w:r>
      <w:r>
        <w:rPr>
          <w:rFonts w:ascii="David" w:hAnsi="David" w:cs="David"/>
          <w:sz w:val="24"/>
          <w:szCs w:val="24"/>
          <w:rtl/>
        </w:rPr>
        <w:t xml:space="preserve">265/14 ניר אלמסי נ' דוד שוקרון </w:t>
      </w:r>
      <w:r>
        <w:rPr>
          <w:rFonts w:ascii="David" w:hAnsi="David" w:cs="David" w:hint="cs"/>
          <w:sz w:val="24"/>
          <w:szCs w:val="24"/>
          <w:rtl/>
        </w:rPr>
        <w:t>נקבע:</w:t>
      </w:r>
      <w:r w:rsidRPr="009623EB">
        <w:rPr>
          <w:rFonts w:ascii="David" w:hAnsi="David" w:cs="David"/>
          <w:b/>
          <w:bCs/>
          <w:sz w:val="24"/>
          <w:szCs w:val="24"/>
          <w:rtl/>
        </w:rPr>
        <w:t xml:space="preserve"> </w:t>
      </w:r>
    </w:p>
    <w:p w:rsidR="009623EB" w:rsidRPr="00C03449" w:rsidRDefault="009623EB" w:rsidP="002931B7">
      <w:pPr>
        <w:pStyle w:val="af"/>
        <w:spacing w:line="360" w:lineRule="auto"/>
        <w:ind w:left="360"/>
        <w:jc w:val="both"/>
        <w:rPr>
          <w:rFonts w:ascii="David" w:hAnsi="David" w:cs="David"/>
          <w:b/>
          <w:bCs/>
          <w:sz w:val="24"/>
          <w:szCs w:val="24"/>
          <w:rtl/>
        </w:rPr>
      </w:pPr>
      <w:r>
        <w:rPr>
          <w:rFonts w:ascii="David" w:hAnsi="David" w:cs="David" w:hint="cs"/>
          <w:b/>
          <w:bCs/>
          <w:sz w:val="24"/>
          <w:szCs w:val="24"/>
          <w:rtl/>
        </w:rPr>
        <w:t>"</w:t>
      </w:r>
      <w:r w:rsidRPr="009623EB">
        <w:rPr>
          <w:rFonts w:ascii="David" w:hAnsi="David" w:cs="David"/>
          <w:b/>
          <w:bCs/>
          <w:sz w:val="24"/>
          <w:szCs w:val="24"/>
          <w:rtl/>
        </w:rPr>
        <w:t>גם הטענה כי קיימת הצדקה לביטול פסק הבוררות מכח הוראת סעיף 24(10) לחוק הבוררות, דינה לה</w:t>
      </w:r>
      <w:r w:rsidR="003E3DF5">
        <w:rPr>
          <w:rFonts w:ascii="David" w:hAnsi="David" w:cs="David" w:hint="cs"/>
          <w:b/>
          <w:bCs/>
          <w:sz w:val="24"/>
          <w:szCs w:val="24"/>
          <w:rtl/>
        </w:rPr>
        <w:t>י</w:t>
      </w:r>
      <w:r w:rsidRPr="009623EB">
        <w:rPr>
          <w:rFonts w:ascii="David" w:hAnsi="David" w:cs="David"/>
          <w:b/>
          <w:bCs/>
          <w:sz w:val="24"/>
          <w:szCs w:val="24"/>
          <w:rtl/>
        </w:rPr>
        <w:t>דחות. כידוע, השימוש בעילת ביטול זו יעשה במקרים חריגים ובמשורה, כמו למשל, אם נפגעו עקרונות הצדק הטבעי, התגלו עובדות חדשות שלא היו ידועות למ</w:t>
      </w:r>
      <w:r w:rsidR="00371355">
        <w:rPr>
          <w:rFonts w:ascii="David" w:hAnsi="David" w:cs="David"/>
          <w:b/>
          <w:bCs/>
          <w:sz w:val="24"/>
          <w:szCs w:val="24"/>
          <w:rtl/>
        </w:rPr>
        <w:t>בקש בשעת הבוררות, ואשר אי-גילוי</w:t>
      </w:r>
      <w:r w:rsidRPr="009623EB">
        <w:rPr>
          <w:rFonts w:ascii="David" w:hAnsi="David" w:cs="David"/>
          <w:b/>
          <w:bCs/>
          <w:sz w:val="24"/>
          <w:szCs w:val="24"/>
          <w:rtl/>
        </w:rPr>
        <w:t>ן במועד לא היה תלוי במבקש או התגלתה תרמית שהשפיעה על מתן פסק הבוררות</w:t>
      </w:r>
      <w:r>
        <w:rPr>
          <w:rFonts w:ascii="David" w:hAnsi="David" w:cs="David" w:hint="cs"/>
          <w:b/>
          <w:bCs/>
          <w:sz w:val="24"/>
          <w:szCs w:val="24"/>
          <w:rtl/>
        </w:rPr>
        <w:t>".</w:t>
      </w:r>
      <w:r w:rsidR="003E3DF5">
        <w:rPr>
          <w:rFonts w:ascii="David" w:hAnsi="David" w:cs="David" w:hint="cs"/>
          <w:b/>
          <w:bCs/>
          <w:sz w:val="24"/>
          <w:szCs w:val="24"/>
          <w:rtl/>
        </w:rPr>
        <w:t xml:space="preserve">( </w:t>
      </w:r>
      <w:r w:rsidR="003E3DF5" w:rsidRPr="003E3DF5">
        <w:rPr>
          <w:rFonts w:ascii="David" w:hAnsi="David" w:cs="David" w:hint="cs"/>
          <w:sz w:val="24"/>
          <w:szCs w:val="24"/>
          <w:rtl/>
        </w:rPr>
        <w:t xml:space="preserve">ראה גם </w:t>
      </w:r>
      <w:r w:rsidR="003E3DF5" w:rsidRPr="003E3DF5">
        <w:rPr>
          <w:rFonts w:ascii="David" w:hAnsi="David" w:cs="David"/>
          <w:sz w:val="24"/>
          <w:szCs w:val="24"/>
          <w:rtl/>
        </w:rPr>
        <w:t>רע"א 7978/07 חבר לחייל בע"מ נ' האגודה למען החייל</w:t>
      </w:r>
      <w:r w:rsidR="003E3DF5">
        <w:rPr>
          <w:rFonts w:ascii="David" w:hAnsi="David" w:cs="David"/>
          <w:b/>
          <w:bCs/>
          <w:sz w:val="24"/>
          <w:szCs w:val="24"/>
          <w:rtl/>
        </w:rPr>
        <w:t xml:space="preserve"> </w:t>
      </w:r>
      <w:r w:rsidR="003E3DF5">
        <w:rPr>
          <w:rFonts w:ascii="David" w:hAnsi="David" w:cs="David" w:hint="cs"/>
          <w:b/>
          <w:bCs/>
          <w:sz w:val="24"/>
          <w:szCs w:val="24"/>
          <w:rtl/>
        </w:rPr>
        <w:t>)</w:t>
      </w:r>
    </w:p>
    <w:p w:rsidR="005D4E8C" w:rsidRPr="006A3A60" w:rsidRDefault="005D4E8C" w:rsidP="002931B7">
      <w:pPr>
        <w:pStyle w:val="af"/>
        <w:spacing w:line="360" w:lineRule="auto"/>
        <w:jc w:val="both"/>
        <w:rPr>
          <w:rFonts w:ascii="David" w:hAnsi="David" w:cs="David"/>
          <w:b/>
          <w:bCs/>
          <w:sz w:val="24"/>
          <w:szCs w:val="24"/>
          <w:u w:val="single"/>
          <w:rtl/>
        </w:rPr>
      </w:pPr>
    </w:p>
    <w:p w:rsidR="001150EC" w:rsidRPr="001150EC" w:rsidRDefault="005D4E8C" w:rsidP="002931B7">
      <w:pPr>
        <w:pStyle w:val="af"/>
        <w:numPr>
          <w:ilvl w:val="0"/>
          <w:numId w:val="2"/>
        </w:numPr>
        <w:spacing w:line="360" w:lineRule="auto"/>
        <w:jc w:val="both"/>
        <w:rPr>
          <w:rFonts w:ascii="David" w:hAnsi="David" w:cs="David"/>
          <w:b/>
          <w:bCs/>
          <w:sz w:val="24"/>
          <w:szCs w:val="24"/>
          <w:u w:val="single"/>
        </w:rPr>
      </w:pPr>
      <w:r w:rsidRPr="006A3A60">
        <w:rPr>
          <w:rFonts w:ascii="David" w:hAnsi="David" w:cs="David" w:hint="cs"/>
          <w:sz w:val="24"/>
          <w:szCs w:val="24"/>
          <w:rtl/>
        </w:rPr>
        <w:t>בקביעת הבוררת בענ</w:t>
      </w:r>
      <w:r w:rsidR="001150EC">
        <w:rPr>
          <w:rFonts w:ascii="David" w:hAnsi="David" w:cs="David" w:hint="cs"/>
          <w:sz w:val="24"/>
          <w:szCs w:val="24"/>
          <w:rtl/>
        </w:rPr>
        <w:t>י</w:t>
      </w:r>
      <w:r w:rsidR="00371355">
        <w:rPr>
          <w:rFonts w:ascii="David" w:hAnsi="David" w:cs="David" w:hint="cs"/>
          <w:sz w:val="24"/>
          <w:szCs w:val="24"/>
          <w:rtl/>
        </w:rPr>
        <w:t>ין דמי השימוש,</w:t>
      </w:r>
      <w:r w:rsidRPr="006A3A60">
        <w:rPr>
          <w:rFonts w:ascii="David" w:hAnsi="David" w:cs="David" w:hint="cs"/>
          <w:sz w:val="24"/>
          <w:szCs w:val="24"/>
          <w:rtl/>
        </w:rPr>
        <w:t xml:space="preserve"> </w:t>
      </w:r>
      <w:r w:rsidRPr="00160FD0">
        <w:rPr>
          <w:rFonts w:ascii="David" w:hAnsi="David" w:cs="David" w:hint="cs"/>
          <w:sz w:val="24"/>
          <w:szCs w:val="24"/>
          <w:rtl/>
        </w:rPr>
        <w:t xml:space="preserve">אין כל עילה  </w:t>
      </w:r>
      <w:r>
        <w:rPr>
          <w:rFonts w:ascii="David" w:hAnsi="David" w:cs="David" w:hint="cs"/>
          <w:sz w:val="24"/>
          <w:szCs w:val="24"/>
          <w:rtl/>
        </w:rPr>
        <w:t>ו</w:t>
      </w:r>
      <w:r w:rsidRPr="006A3A60">
        <w:rPr>
          <w:rFonts w:ascii="David" w:hAnsi="David" w:cs="David" w:hint="cs"/>
          <w:sz w:val="24"/>
          <w:szCs w:val="24"/>
          <w:rtl/>
        </w:rPr>
        <w:t>דומה שהתובעים נותנים "פרשנות" מאולצת לקביעה זו תוך ניסיון להלב</w:t>
      </w:r>
      <w:r w:rsidR="001150EC">
        <w:rPr>
          <w:rFonts w:ascii="David" w:hAnsi="David" w:cs="David" w:hint="cs"/>
          <w:sz w:val="24"/>
          <w:szCs w:val="24"/>
          <w:rtl/>
        </w:rPr>
        <w:t>יש אותה בטיעון כנגד תקנת הציבור, או פגיעה בכללי הצדק הטבעי.</w:t>
      </w:r>
    </w:p>
    <w:p w:rsidR="00414E9C" w:rsidRDefault="005D4E8C" w:rsidP="002931B7">
      <w:pPr>
        <w:pStyle w:val="af"/>
        <w:spacing w:line="360" w:lineRule="auto"/>
        <w:ind w:left="360"/>
        <w:jc w:val="both"/>
        <w:rPr>
          <w:rFonts w:ascii="David" w:hAnsi="David" w:cs="David"/>
          <w:sz w:val="24"/>
          <w:szCs w:val="24"/>
          <w:rtl/>
        </w:rPr>
      </w:pPr>
      <w:r w:rsidRPr="001150EC">
        <w:rPr>
          <w:rFonts w:ascii="David" w:hAnsi="David" w:cs="David" w:hint="cs"/>
          <w:sz w:val="24"/>
          <w:szCs w:val="24"/>
          <w:rtl/>
        </w:rPr>
        <w:t xml:space="preserve">כפי שעולה מפסק הבוררות, הבוררת הביאה את טענות שני הצדדים, ולאחר בחינת הטענות והנסיבות, הגיעה למסקנה כי התובעים אינם זכאים לדמי שימוש. </w:t>
      </w:r>
    </w:p>
    <w:p w:rsidR="00371355" w:rsidRDefault="00371355" w:rsidP="002931B7">
      <w:pPr>
        <w:pStyle w:val="af"/>
        <w:spacing w:line="360" w:lineRule="auto"/>
        <w:ind w:left="360"/>
        <w:jc w:val="both"/>
        <w:rPr>
          <w:rFonts w:ascii="David" w:hAnsi="David" w:cs="David"/>
          <w:sz w:val="24"/>
          <w:szCs w:val="24"/>
          <w:rtl/>
        </w:rPr>
      </w:pPr>
      <w:r>
        <w:rPr>
          <w:rFonts w:ascii="David" w:hAnsi="David" w:cs="David" w:hint="cs"/>
          <w:sz w:val="24"/>
          <w:szCs w:val="24"/>
          <w:rtl/>
        </w:rPr>
        <w:t>למעלה מן הנדרש אוסיף כי, עד היום התובעים אינם רשומים כבעלי הזכויות בנכס, ועל כן לא ניתן לטעון כ</w:t>
      </w:r>
      <w:r w:rsidR="008A69C6">
        <w:rPr>
          <w:rFonts w:ascii="David" w:hAnsi="David" w:cs="David" w:hint="cs"/>
          <w:sz w:val="24"/>
          <w:szCs w:val="24"/>
          <w:rtl/>
        </w:rPr>
        <w:t>י</w:t>
      </w:r>
      <w:r>
        <w:rPr>
          <w:rFonts w:ascii="David" w:hAnsi="David" w:cs="David" w:hint="cs"/>
          <w:sz w:val="24"/>
          <w:szCs w:val="24"/>
          <w:rtl/>
        </w:rPr>
        <w:t xml:space="preserve"> הקביעה לאי זכאותם לדמי שימוש לא יכולה לעמוד.</w:t>
      </w:r>
    </w:p>
    <w:p w:rsidR="00371355" w:rsidRPr="00414E9C" w:rsidRDefault="00371355" w:rsidP="002931B7">
      <w:pPr>
        <w:pStyle w:val="af"/>
        <w:spacing w:line="360" w:lineRule="auto"/>
        <w:ind w:left="360"/>
        <w:jc w:val="both"/>
        <w:rPr>
          <w:rFonts w:ascii="David" w:hAnsi="David" w:cs="David"/>
          <w:b/>
          <w:bCs/>
          <w:sz w:val="24"/>
          <w:szCs w:val="24"/>
          <w:rtl/>
        </w:rPr>
      </w:pPr>
    </w:p>
    <w:p w:rsidR="00076ECF" w:rsidRPr="000110A3" w:rsidRDefault="005D4E8C" w:rsidP="002931B7">
      <w:pPr>
        <w:pStyle w:val="af"/>
        <w:numPr>
          <w:ilvl w:val="0"/>
          <w:numId w:val="2"/>
        </w:numPr>
        <w:spacing w:line="360" w:lineRule="auto"/>
        <w:jc w:val="both"/>
        <w:rPr>
          <w:rFonts w:ascii="David" w:hAnsi="David" w:cs="David"/>
          <w:sz w:val="24"/>
          <w:szCs w:val="24"/>
          <w:rtl/>
        </w:rPr>
      </w:pPr>
      <w:r w:rsidRPr="00076ECF">
        <w:rPr>
          <w:rFonts w:ascii="David" w:hAnsi="David" w:cs="David"/>
          <w:sz w:val="24"/>
          <w:szCs w:val="24"/>
          <w:rtl/>
        </w:rPr>
        <w:t xml:space="preserve">אין כל יסוד לטענת התובעים כי קביעת הבוררת הינה  בניגוד להכרעת בית </w:t>
      </w:r>
      <w:r w:rsidR="00371355">
        <w:rPr>
          <w:rFonts w:ascii="David" w:hAnsi="David" w:cs="David" w:hint="cs"/>
          <w:sz w:val="24"/>
          <w:szCs w:val="24"/>
          <w:rtl/>
        </w:rPr>
        <w:t>ה</w:t>
      </w:r>
      <w:r w:rsidR="00371355">
        <w:rPr>
          <w:rFonts w:ascii="David" w:hAnsi="David" w:cs="David"/>
          <w:sz w:val="24"/>
          <w:szCs w:val="24"/>
          <w:rtl/>
        </w:rPr>
        <w:t>משפט המחוזי ומאיינת אותה</w:t>
      </w:r>
      <w:r w:rsidR="00371355">
        <w:rPr>
          <w:rFonts w:ascii="David" w:hAnsi="David" w:cs="David" w:hint="cs"/>
          <w:sz w:val="24"/>
          <w:szCs w:val="24"/>
          <w:rtl/>
        </w:rPr>
        <w:t xml:space="preserve">, </w:t>
      </w:r>
      <w:r w:rsidRPr="00076ECF">
        <w:rPr>
          <w:rFonts w:ascii="David" w:hAnsi="David" w:cs="David"/>
          <w:sz w:val="24"/>
          <w:szCs w:val="24"/>
          <w:rtl/>
        </w:rPr>
        <w:t>טענות התובעים בענ</w:t>
      </w:r>
      <w:r w:rsidR="00275AEC" w:rsidRPr="00076ECF">
        <w:rPr>
          <w:rFonts w:ascii="David" w:hAnsi="David" w:cs="David"/>
          <w:sz w:val="24"/>
          <w:szCs w:val="24"/>
          <w:rtl/>
        </w:rPr>
        <w:t>י</w:t>
      </w:r>
      <w:r w:rsidR="00371355">
        <w:rPr>
          <w:rFonts w:ascii="David" w:hAnsi="David" w:cs="David"/>
          <w:sz w:val="24"/>
          <w:szCs w:val="24"/>
          <w:rtl/>
        </w:rPr>
        <w:t>ין זה אף תמוהות</w:t>
      </w:r>
      <w:r w:rsidR="00371355">
        <w:rPr>
          <w:rFonts w:ascii="David" w:hAnsi="David" w:cs="David" w:hint="cs"/>
          <w:sz w:val="24"/>
          <w:szCs w:val="24"/>
          <w:rtl/>
        </w:rPr>
        <w:t>.</w:t>
      </w:r>
      <w:r w:rsidRPr="00076ECF">
        <w:rPr>
          <w:rFonts w:ascii="David" w:hAnsi="David" w:cs="David"/>
          <w:sz w:val="24"/>
          <w:szCs w:val="24"/>
          <w:rtl/>
        </w:rPr>
        <w:t xml:space="preserve"> </w:t>
      </w:r>
      <w:r w:rsidR="00076ECF" w:rsidRPr="00076ECF">
        <w:rPr>
          <w:rFonts w:ascii="David" w:hAnsi="David" w:cs="David"/>
          <w:sz w:val="24"/>
          <w:szCs w:val="24"/>
          <w:rtl/>
        </w:rPr>
        <w:t>בפסק הדין של ביהמ</w:t>
      </w:r>
      <w:r w:rsidR="000110A3">
        <w:rPr>
          <w:rFonts w:ascii="David" w:hAnsi="David" w:cs="David" w:hint="cs"/>
          <w:sz w:val="24"/>
          <w:szCs w:val="24"/>
          <w:rtl/>
        </w:rPr>
        <w:t>"</w:t>
      </w:r>
      <w:r w:rsidR="00076ECF" w:rsidRPr="00076ECF">
        <w:rPr>
          <w:rFonts w:ascii="David" w:hAnsi="David" w:cs="David"/>
          <w:sz w:val="24"/>
          <w:szCs w:val="24"/>
          <w:rtl/>
        </w:rPr>
        <w:t xml:space="preserve">ש המחוזי בעמ"ש 8068-07-15 נקבע בסעיף24 שם: </w:t>
      </w:r>
      <w:r w:rsidR="00076ECF" w:rsidRPr="00076ECF">
        <w:rPr>
          <w:rFonts w:ascii="David" w:hAnsi="David" w:cs="David"/>
          <w:b/>
          <w:bCs/>
          <w:sz w:val="24"/>
          <w:szCs w:val="24"/>
          <w:rtl/>
        </w:rPr>
        <w:t>"יובהר כי אין בהכרעה זו לחסום או לייתר ברור עתידי לשאלת התחשבנות בנוגע להשבחות, השקעות, תשלומים ושימושים ביחס לדירה, שנעשו מצד המשיב בדירה, וככל שאלו יוכחו, ממועד מתן המתנה ואילך, והכל מכוח השותפות שנקבעו ביניהם"</w:t>
      </w:r>
      <w:r w:rsidR="000110A3">
        <w:rPr>
          <w:rFonts w:ascii="David" w:hAnsi="David" w:cs="David" w:hint="cs"/>
          <w:sz w:val="24"/>
          <w:szCs w:val="24"/>
          <w:rtl/>
        </w:rPr>
        <w:t xml:space="preserve">. </w:t>
      </w:r>
      <w:r w:rsidR="000110A3">
        <w:rPr>
          <w:rFonts w:ascii="David" w:hAnsi="David" w:cs="David"/>
          <w:sz w:val="24"/>
          <w:szCs w:val="24"/>
          <w:rtl/>
        </w:rPr>
        <w:t xml:space="preserve">בית </w:t>
      </w:r>
      <w:r w:rsidR="000110A3">
        <w:rPr>
          <w:rFonts w:ascii="David" w:hAnsi="David" w:cs="David" w:hint="cs"/>
          <w:sz w:val="24"/>
          <w:szCs w:val="24"/>
          <w:rtl/>
        </w:rPr>
        <w:t>ה</w:t>
      </w:r>
      <w:r w:rsidR="000110A3">
        <w:rPr>
          <w:rFonts w:ascii="David" w:hAnsi="David" w:cs="David"/>
          <w:sz w:val="24"/>
          <w:szCs w:val="24"/>
          <w:rtl/>
        </w:rPr>
        <w:t xml:space="preserve">משפט </w:t>
      </w:r>
      <w:r w:rsidR="000110A3">
        <w:rPr>
          <w:rFonts w:ascii="David" w:hAnsi="David" w:cs="David" w:hint="cs"/>
          <w:sz w:val="24"/>
          <w:szCs w:val="24"/>
          <w:rtl/>
        </w:rPr>
        <w:t>המחוזי</w:t>
      </w:r>
      <w:r w:rsidR="00076ECF" w:rsidRPr="000110A3">
        <w:rPr>
          <w:rFonts w:ascii="David" w:hAnsi="David" w:cs="David"/>
          <w:sz w:val="24"/>
          <w:szCs w:val="24"/>
          <w:rtl/>
        </w:rPr>
        <w:t xml:space="preserve"> בפסק דינו בקש למעשה להבהיר כי אינו חוסם זכות תביעה של מי מהצדדים, בעניין התחשבנות ב</w:t>
      </w:r>
      <w:r w:rsidR="000110A3">
        <w:rPr>
          <w:rFonts w:ascii="David" w:hAnsi="David" w:cs="David"/>
          <w:sz w:val="24"/>
          <w:szCs w:val="24"/>
          <w:rtl/>
        </w:rPr>
        <w:t>עניין שיפוץ בדירה  ושימוש בדירה</w:t>
      </w:r>
      <w:r w:rsidR="000110A3">
        <w:rPr>
          <w:rFonts w:ascii="David" w:hAnsi="David" w:cs="David" w:hint="cs"/>
          <w:sz w:val="24"/>
          <w:szCs w:val="24"/>
          <w:rtl/>
        </w:rPr>
        <w:t>.</w:t>
      </w:r>
    </w:p>
    <w:p w:rsidR="00076ECF" w:rsidRPr="00076ECF" w:rsidRDefault="00076ECF" w:rsidP="002931B7">
      <w:pPr>
        <w:pStyle w:val="af"/>
        <w:spacing w:line="360" w:lineRule="auto"/>
        <w:ind w:left="360"/>
        <w:jc w:val="both"/>
        <w:rPr>
          <w:rFonts w:ascii="David" w:hAnsi="David" w:cs="David"/>
          <w:b/>
          <w:bCs/>
          <w:sz w:val="24"/>
          <w:szCs w:val="24"/>
          <w:rtl/>
        </w:rPr>
      </w:pPr>
    </w:p>
    <w:p w:rsidR="00414E9C" w:rsidRPr="00076ECF" w:rsidRDefault="000110A3"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התובעים הגישו תביעה לדמי שימוש ופירוק ש</w:t>
      </w:r>
      <w:r w:rsidR="00B43761">
        <w:rPr>
          <w:rFonts w:ascii="David" w:hAnsi="David" w:cs="David" w:hint="cs"/>
          <w:sz w:val="24"/>
          <w:szCs w:val="24"/>
          <w:rtl/>
        </w:rPr>
        <w:t>יתוף, והנתבעים טענו בכתב הגנתם</w:t>
      </w:r>
      <w:r>
        <w:rPr>
          <w:rFonts w:ascii="David" w:hAnsi="David" w:cs="David" w:hint="cs"/>
          <w:sz w:val="24"/>
          <w:szCs w:val="24"/>
          <w:rtl/>
        </w:rPr>
        <w:t>,</w:t>
      </w:r>
      <w:r w:rsidR="00B43761">
        <w:rPr>
          <w:rFonts w:ascii="David" w:hAnsi="David" w:cs="David" w:hint="cs"/>
          <w:sz w:val="24"/>
          <w:szCs w:val="24"/>
          <w:rtl/>
        </w:rPr>
        <w:t xml:space="preserve"> </w:t>
      </w:r>
      <w:r>
        <w:rPr>
          <w:rFonts w:ascii="David" w:hAnsi="David" w:cs="David" w:hint="cs"/>
          <w:sz w:val="24"/>
          <w:szCs w:val="24"/>
          <w:rtl/>
        </w:rPr>
        <w:t>בן היתר, להשקעות והשבח</w:t>
      </w:r>
      <w:r w:rsidR="00B43761">
        <w:rPr>
          <w:rFonts w:ascii="David" w:hAnsi="David" w:cs="David" w:hint="cs"/>
          <w:sz w:val="24"/>
          <w:szCs w:val="24"/>
          <w:rtl/>
        </w:rPr>
        <w:t>ו</w:t>
      </w:r>
      <w:r>
        <w:rPr>
          <w:rFonts w:ascii="David" w:hAnsi="David" w:cs="David" w:hint="cs"/>
          <w:sz w:val="24"/>
          <w:szCs w:val="24"/>
          <w:rtl/>
        </w:rPr>
        <w:t xml:space="preserve">ת שביצעו בדירה. </w:t>
      </w:r>
      <w:r w:rsidR="005D4E8C" w:rsidRPr="00076ECF">
        <w:rPr>
          <w:rFonts w:ascii="David" w:hAnsi="David" w:cs="David" w:hint="cs"/>
          <w:sz w:val="24"/>
          <w:szCs w:val="24"/>
          <w:rtl/>
        </w:rPr>
        <w:t>הבוררת בחנה והכריעה בטענות</w:t>
      </w:r>
      <w:r>
        <w:rPr>
          <w:rFonts w:ascii="David" w:hAnsi="David" w:cs="David" w:hint="cs"/>
          <w:sz w:val="24"/>
          <w:szCs w:val="24"/>
          <w:rtl/>
        </w:rPr>
        <w:t xml:space="preserve"> של</w:t>
      </w:r>
      <w:r w:rsidR="005D4E8C" w:rsidRPr="00076ECF">
        <w:rPr>
          <w:rFonts w:ascii="David" w:hAnsi="David" w:cs="David" w:hint="cs"/>
          <w:sz w:val="24"/>
          <w:szCs w:val="24"/>
          <w:rtl/>
        </w:rPr>
        <w:t xml:space="preserve"> שני הצדדים בעני</w:t>
      </w:r>
      <w:r w:rsidR="00275AEC" w:rsidRPr="00076ECF">
        <w:rPr>
          <w:rFonts w:ascii="David" w:hAnsi="David" w:cs="David" w:hint="cs"/>
          <w:sz w:val="24"/>
          <w:szCs w:val="24"/>
          <w:rtl/>
        </w:rPr>
        <w:t>י</w:t>
      </w:r>
      <w:r w:rsidR="005D4E8C" w:rsidRPr="00076ECF">
        <w:rPr>
          <w:rFonts w:ascii="David" w:hAnsi="David" w:cs="David" w:hint="cs"/>
          <w:sz w:val="24"/>
          <w:szCs w:val="24"/>
          <w:rtl/>
        </w:rPr>
        <w:t>ן זה. בתביע</w:t>
      </w:r>
      <w:r w:rsidR="00E370AB" w:rsidRPr="00076ECF">
        <w:rPr>
          <w:rFonts w:ascii="David" w:hAnsi="David" w:cs="David" w:hint="cs"/>
          <w:sz w:val="24"/>
          <w:szCs w:val="24"/>
          <w:rtl/>
        </w:rPr>
        <w:t xml:space="preserve">ה לדמי שימוש הגיעה למסקנה שהתובעים אינם </w:t>
      </w:r>
      <w:r w:rsidR="005D4E8C" w:rsidRPr="00076ECF">
        <w:rPr>
          <w:rFonts w:ascii="David" w:hAnsi="David" w:cs="David" w:hint="cs"/>
          <w:sz w:val="24"/>
          <w:szCs w:val="24"/>
          <w:rtl/>
        </w:rPr>
        <w:t>זכאים לדמי שימוש. ולעני</w:t>
      </w:r>
      <w:r w:rsidR="00414E9C" w:rsidRPr="00076ECF">
        <w:rPr>
          <w:rFonts w:ascii="David" w:hAnsi="David" w:cs="David" w:hint="cs"/>
          <w:sz w:val="24"/>
          <w:szCs w:val="24"/>
          <w:rtl/>
        </w:rPr>
        <w:t>י</w:t>
      </w:r>
      <w:r w:rsidR="005D4E8C" w:rsidRPr="00076ECF">
        <w:rPr>
          <w:rFonts w:ascii="David" w:hAnsi="David" w:cs="David" w:hint="cs"/>
          <w:sz w:val="24"/>
          <w:szCs w:val="24"/>
          <w:rtl/>
        </w:rPr>
        <w:t>ן "השקעות הנתבעים בנכס" קבעה, כי "...</w:t>
      </w:r>
      <w:r w:rsidR="005D4E8C" w:rsidRPr="00076ECF">
        <w:rPr>
          <w:rFonts w:ascii="David" w:hAnsi="David" w:cs="David" w:hint="cs"/>
          <w:b/>
          <w:bCs/>
          <w:sz w:val="24"/>
          <w:szCs w:val="24"/>
          <w:rtl/>
        </w:rPr>
        <w:t>יש לראות בתובעים כמי שנתנו הסכמתם לשיפוץ</w:t>
      </w:r>
      <w:r w:rsidR="005D4E8C" w:rsidRPr="00076ECF">
        <w:rPr>
          <w:rFonts w:ascii="David" w:hAnsi="David" w:cs="David" w:hint="cs"/>
          <w:sz w:val="24"/>
          <w:szCs w:val="24"/>
          <w:rtl/>
        </w:rPr>
        <w:t xml:space="preserve">". </w:t>
      </w:r>
      <w:r w:rsidR="00275AEC" w:rsidRPr="00076ECF">
        <w:rPr>
          <w:rFonts w:ascii="David" w:hAnsi="David" w:cs="David" w:hint="cs"/>
          <w:sz w:val="24"/>
          <w:szCs w:val="24"/>
          <w:rtl/>
        </w:rPr>
        <w:t>והו</w:t>
      </w:r>
      <w:r w:rsidR="005D4E8C" w:rsidRPr="00076ECF">
        <w:rPr>
          <w:rFonts w:ascii="David" w:hAnsi="David" w:cs="David" w:hint="cs"/>
          <w:sz w:val="24"/>
          <w:szCs w:val="24"/>
          <w:rtl/>
        </w:rPr>
        <w:t>ס</w:t>
      </w:r>
      <w:r w:rsidR="00275AEC" w:rsidRPr="00076ECF">
        <w:rPr>
          <w:rFonts w:ascii="David" w:hAnsi="David" w:cs="David" w:hint="cs"/>
          <w:sz w:val="24"/>
          <w:szCs w:val="24"/>
          <w:rtl/>
        </w:rPr>
        <w:t>י</w:t>
      </w:r>
      <w:r w:rsidR="005D4E8C" w:rsidRPr="00076ECF">
        <w:rPr>
          <w:rFonts w:ascii="David" w:hAnsi="David" w:cs="David" w:hint="cs"/>
          <w:sz w:val="24"/>
          <w:szCs w:val="24"/>
          <w:rtl/>
        </w:rPr>
        <w:t xml:space="preserve">פה ,כי :" </w:t>
      </w:r>
      <w:r w:rsidR="005D4E8C" w:rsidRPr="00076ECF">
        <w:rPr>
          <w:rFonts w:ascii="David" w:hAnsi="David" w:cs="David" w:hint="cs"/>
          <w:b/>
          <w:bCs/>
          <w:sz w:val="24"/>
          <w:szCs w:val="24"/>
          <w:rtl/>
        </w:rPr>
        <w:t>לאחר בחינת מכלול התיעוד שהוצג לרבות עיון בחוות דעת השמאי לעני</w:t>
      </w:r>
      <w:r w:rsidR="00414E9C" w:rsidRPr="00076ECF">
        <w:rPr>
          <w:rFonts w:ascii="David" w:hAnsi="David" w:cs="David" w:hint="cs"/>
          <w:b/>
          <w:bCs/>
          <w:sz w:val="24"/>
          <w:szCs w:val="24"/>
          <w:rtl/>
        </w:rPr>
        <w:t>י</w:t>
      </w:r>
      <w:r w:rsidR="005D4E8C" w:rsidRPr="00076ECF">
        <w:rPr>
          <w:rFonts w:ascii="David" w:hAnsi="David" w:cs="David" w:hint="cs"/>
          <w:b/>
          <w:bCs/>
          <w:sz w:val="24"/>
          <w:szCs w:val="24"/>
          <w:rtl/>
        </w:rPr>
        <w:t xml:space="preserve">ן השיפוצים ראיתי </w:t>
      </w:r>
      <w:r w:rsidR="005D4E8C" w:rsidRPr="00076ECF">
        <w:rPr>
          <w:rFonts w:ascii="David" w:hAnsi="David" w:cs="David" w:hint="cs"/>
          <w:b/>
          <w:bCs/>
          <w:sz w:val="24"/>
          <w:szCs w:val="24"/>
          <w:rtl/>
        </w:rPr>
        <w:lastRenderedPageBreak/>
        <w:t>לקבוע  את שווי ההשקעות בנכס על דרך אומדנא</w:t>
      </w:r>
      <w:r w:rsidR="00B43761">
        <w:rPr>
          <w:rFonts w:ascii="David" w:hAnsi="David" w:cs="David" w:hint="cs"/>
          <w:b/>
          <w:bCs/>
          <w:sz w:val="24"/>
          <w:szCs w:val="24"/>
          <w:rtl/>
        </w:rPr>
        <w:t>"</w:t>
      </w:r>
      <w:r w:rsidR="005D4E8C" w:rsidRPr="00076ECF">
        <w:rPr>
          <w:rFonts w:ascii="David" w:hAnsi="David" w:cs="David" w:hint="cs"/>
          <w:sz w:val="24"/>
          <w:szCs w:val="24"/>
          <w:rtl/>
        </w:rPr>
        <w:t>. ודוק</w:t>
      </w:r>
      <w:r w:rsidR="00B43761">
        <w:rPr>
          <w:rFonts w:ascii="David" w:hAnsi="David" w:cs="David" w:hint="cs"/>
          <w:sz w:val="24"/>
          <w:szCs w:val="24"/>
          <w:rtl/>
        </w:rPr>
        <w:t>ו</w:t>
      </w:r>
      <w:r w:rsidR="005D4E8C" w:rsidRPr="00076ECF">
        <w:rPr>
          <w:rFonts w:ascii="David" w:hAnsi="David" w:cs="David" w:hint="cs"/>
          <w:sz w:val="24"/>
          <w:szCs w:val="24"/>
          <w:rtl/>
        </w:rPr>
        <w:t xml:space="preserve">, </w:t>
      </w:r>
      <w:r w:rsidR="00414E9C" w:rsidRPr="00076ECF">
        <w:rPr>
          <w:rFonts w:ascii="David" w:hAnsi="David" w:cs="David" w:hint="cs"/>
          <w:sz w:val="24"/>
          <w:szCs w:val="24"/>
          <w:rtl/>
        </w:rPr>
        <w:t>מסקנות שונות של הבוררת בסופו</w:t>
      </w:r>
      <w:r w:rsidR="005D4E8C" w:rsidRPr="00076ECF">
        <w:rPr>
          <w:rFonts w:ascii="David" w:hAnsi="David" w:cs="David" w:hint="cs"/>
          <w:sz w:val="24"/>
          <w:szCs w:val="24"/>
          <w:rtl/>
        </w:rPr>
        <w:t xml:space="preserve"> של דבר, אין משמעה התרת "התחשבנות" לעני</w:t>
      </w:r>
      <w:r w:rsidR="00414E9C" w:rsidRPr="00076ECF">
        <w:rPr>
          <w:rFonts w:ascii="David" w:hAnsi="David" w:cs="David" w:hint="cs"/>
          <w:sz w:val="24"/>
          <w:szCs w:val="24"/>
          <w:rtl/>
        </w:rPr>
        <w:t>י</w:t>
      </w:r>
      <w:r w:rsidR="005D4E8C" w:rsidRPr="00076ECF">
        <w:rPr>
          <w:rFonts w:ascii="David" w:hAnsi="David" w:cs="David" w:hint="cs"/>
          <w:sz w:val="24"/>
          <w:szCs w:val="24"/>
          <w:rtl/>
        </w:rPr>
        <w:t xml:space="preserve">ן השקעות הנתבעים בדירה, אך </w:t>
      </w:r>
      <w:r w:rsidR="00B43761">
        <w:rPr>
          <w:rFonts w:ascii="David" w:hAnsi="David" w:cs="David" w:hint="cs"/>
          <w:sz w:val="24"/>
          <w:szCs w:val="24"/>
          <w:rtl/>
        </w:rPr>
        <w:t>איון התחשבנות בעניין דמי שימוש;</w:t>
      </w:r>
      <w:r w:rsidR="00414E9C" w:rsidRPr="00076ECF">
        <w:rPr>
          <w:rFonts w:ascii="David" w:hAnsi="David" w:cs="David" w:hint="cs"/>
          <w:sz w:val="24"/>
          <w:szCs w:val="24"/>
          <w:rtl/>
        </w:rPr>
        <w:t xml:space="preserve"> </w:t>
      </w:r>
      <w:r w:rsidR="005D4E8C" w:rsidRPr="00076ECF">
        <w:rPr>
          <w:rFonts w:ascii="David" w:hAnsi="David" w:cs="David" w:hint="cs"/>
          <w:sz w:val="24"/>
          <w:szCs w:val="24"/>
          <w:rtl/>
        </w:rPr>
        <w:t>מדובר בהכרעה לגופו של ענין ב</w:t>
      </w:r>
      <w:r w:rsidR="00414E9C" w:rsidRPr="00076ECF">
        <w:rPr>
          <w:rFonts w:ascii="David" w:hAnsi="David" w:cs="David" w:hint="cs"/>
          <w:sz w:val="24"/>
          <w:szCs w:val="24"/>
          <w:rtl/>
        </w:rPr>
        <w:t xml:space="preserve">שתי המחלוקות , ללא כל סלקטיביות. </w:t>
      </w:r>
    </w:p>
    <w:p w:rsidR="00414E9C" w:rsidRPr="00414E9C" w:rsidRDefault="00414E9C" w:rsidP="002931B7">
      <w:pPr>
        <w:pStyle w:val="af"/>
        <w:spacing w:line="360" w:lineRule="auto"/>
        <w:ind w:left="360"/>
        <w:jc w:val="both"/>
        <w:rPr>
          <w:rFonts w:ascii="David" w:hAnsi="David" w:cs="David"/>
          <w:sz w:val="24"/>
          <w:szCs w:val="24"/>
          <w:rtl/>
        </w:rPr>
      </w:pPr>
    </w:p>
    <w:p w:rsidR="005D4E8C" w:rsidRPr="00E837A9" w:rsidRDefault="00E837A9"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כל יתר טענות התובעים בעניין זה לרבות שהם לא התירו לנתבע לגור בנכס, לא יכלו להגיש התביעה לדמי שימוש במועד מוקדם, בטרם שנקבע</w:t>
      </w:r>
      <w:r w:rsidR="00B43761">
        <w:rPr>
          <w:rFonts w:ascii="David" w:hAnsi="David" w:cs="David" w:hint="cs"/>
          <w:sz w:val="24"/>
          <w:szCs w:val="24"/>
          <w:rtl/>
        </w:rPr>
        <w:t>ה זכותם וכו ,הינן טענות ערעור</w:t>
      </w:r>
      <w:r>
        <w:rPr>
          <w:rFonts w:ascii="David" w:hAnsi="David" w:cs="David" w:hint="cs"/>
          <w:sz w:val="24"/>
          <w:szCs w:val="24"/>
          <w:rtl/>
        </w:rPr>
        <w:t xml:space="preserve"> כנגד פסק הבורר ואינן מקימות עילה לביטולו.</w:t>
      </w:r>
    </w:p>
    <w:p w:rsidR="005D4E8C" w:rsidRDefault="005D4E8C" w:rsidP="002931B7">
      <w:pPr>
        <w:pStyle w:val="af"/>
        <w:spacing w:line="360" w:lineRule="auto"/>
        <w:jc w:val="both"/>
        <w:rPr>
          <w:rFonts w:ascii="David" w:hAnsi="David" w:cs="David"/>
          <w:sz w:val="24"/>
          <w:szCs w:val="24"/>
        </w:rPr>
      </w:pPr>
    </w:p>
    <w:p w:rsidR="005D4E8C" w:rsidRPr="00F571D9" w:rsidRDefault="005D4E8C"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לאור כל האמור לעיל, </w:t>
      </w:r>
      <w:r w:rsidRPr="00F571D9">
        <w:rPr>
          <w:rFonts w:ascii="David" w:hAnsi="David" w:cs="David" w:hint="cs"/>
          <w:sz w:val="24"/>
          <w:szCs w:val="24"/>
          <w:rtl/>
        </w:rPr>
        <w:t>אני דוחה את טענת התובעים לביטול פסק בוררות מכוח סעיפים 24(9)+(10) לחוק הבוררות.</w:t>
      </w:r>
    </w:p>
    <w:p w:rsidR="005D4E8C" w:rsidRDefault="005D4E8C" w:rsidP="002931B7">
      <w:pPr>
        <w:pStyle w:val="af"/>
        <w:spacing w:line="360" w:lineRule="auto"/>
        <w:jc w:val="both"/>
        <w:rPr>
          <w:rFonts w:ascii="David" w:hAnsi="David" w:cs="David"/>
          <w:b/>
          <w:bCs/>
          <w:sz w:val="24"/>
          <w:szCs w:val="24"/>
          <w:u w:val="single"/>
          <w:rtl/>
        </w:rPr>
      </w:pPr>
    </w:p>
    <w:p w:rsidR="005D4E8C" w:rsidRPr="00DB5785" w:rsidRDefault="005D4E8C" w:rsidP="002931B7">
      <w:pPr>
        <w:spacing w:line="360" w:lineRule="auto"/>
        <w:jc w:val="both"/>
        <w:rPr>
          <w:rFonts w:ascii="David" w:hAnsi="David"/>
          <w:b/>
          <w:bCs/>
          <w:u w:val="single"/>
          <w:rtl/>
        </w:rPr>
      </w:pPr>
      <w:r w:rsidRPr="00A31FEE">
        <w:rPr>
          <w:rFonts w:ascii="David" w:hAnsi="David" w:hint="cs"/>
          <w:u w:val="single"/>
          <w:rtl/>
        </w:rPr>
        <w:t xml:space="preserve">בפסק </w:t>
      </w:r>
      <w:r w:rsidR="000110A3" w:rsidRPr="00A31FEE">
        <w:rPr>
          <w:rFonts w:ascii="David" w:hAnsi="David" w:hint="cs"/>
          <w:u w:val="single"/>
          <w:rtl/>
        </w:rPr>
        <w:t>ה</w:t>
      </w:r>
      <w:r w:rsidRPr="00A31FEE">
        <w:rPr>
          <w:rFonts w:ascii="David" w:hAnsi="David" w:hint="cs"/>
          <w:u w:val="single"/>
          <w:rtl/>
        </w:rPr>
        <w:t>בורר ישנן סתירות מהותיות  המהוות עילת ביטול לפי סעיף24(5) לחוק הבוררות</w:t>
      </w:r>
      <w:r>
        <w:rPr>
          <w:rFonts w:ascii="David" w:hAnsi="David" w:hint="cs"/>
          <w:b/>
          <w:bCs/>
          <w:u w:val="single"/>
          <w:rtl/>
        </w:rPr>
        <w:t>-</w:t>
      </w:r>
    </w:p>
    <w:p w:rsidR="005D4E8C" w:rsidRDefault="005D4E8C"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לשיטת התובעים, בפסק בורר, </w:t>
      </w:r>
      <w:r w:rsidRPr="003B6FBA">
        <w:rPr>
          <w:rFonts w:ascii="David" w:hAnsi="David" w:cs="David" w:hint="cs"/>
          <w:sz w:val="24"/>
          <w:szCs w:val="24"/>
          <w:rtl/>
        </w:rPr>
        <w:t>ישנן סתירות מהותיות, מבחינה עובדתית ומשפטית. ולא ניתן ליישב אותן</w:t>
      </w:r>
      <w:r w:rsidR="000110A3">
        <w:rPr>
          <w:rFonts w:ascii="David" w:hAnsi="David" w:cs="David" w:hint="cs"/>
          <w:sz w:val="24"/>
          <w:szCs w:val="24"/>
          <w:rtl/>
        </w:rPr>
        <w:t>,</w:t>
      </w:r>
      <w:r w:rsidRPr="003B6FBA">
        <w:rPr>
          <w:rFonts w:ascii="David" w:hAnsi="David" w:cs="David" w:hint="cs"/>
          <w:sz w:val="24"/>
          <w:szCs w:val="24"/>
          <w:rtl/>
        </w:rPr>
        <w:t xml:space="preserve"> ופסק בורר לא יכול לעמוד</w:t>
      </w:r>
      <w:r>
        <w:rPr>
          <w:rFonts w:ascii="David" w:hAnsi="David" w:cs="David" w:hint="cs"/>
          <w:sz w:val="24"/>
          <w:szCs w:val="24"/>
          <w:rtl/>
        </w:rPr>
        <w:t xml:space="preserve"> בפני עצמו</w:t>
      </w:r>
      <w:r w:rsidRPr="003B6FBA">
        <w:rPr>
          <w:rFonts w:ascii="David" w:hAnsi="David" w:cs="David" w:hint="cs"/>
          <w:sz w:val="24"/>
          <w:szCs w:val="24"/>
          <w:rtl/>
        </w:rPr>
        <w:t>; יש גם התעלמות מראיות.  בנסיבות אלה, יש לבטל את פסק בורר לפי סעיף 24(5) לחוק</w:t>
      </w:r>
      <w:r w:rsidR="00B43761">
        <w:rPr>
          <w:rFonts w:ascii="David" w:hAnsi="David" w:cs="David" w:hint="cs"/>
          <w:sz w:val="24"/>
          <w:szCs w:val="24"/>
          <w:rtl/>
        </w:rPr>
        <w:t xml:space="preserve"> הבוררות, תוך הפניה</w:t>
      </w:r>
      <w:r w:rsidR="00914F56">
        <w:rPr>
          <w:rFonts w:ascii="David" w:hAnsi="David" w:cs="David" w:hint="cs"/>
          <w:sz w:val="24"/>
          <w:szCs w:val="24"/>
          <w:rtl/>
        </w:rPr>
        <w:t xml:space="preserve"> </w:t>
      </w:r>
      <w:r>
        <w:rPr>
          <w:rFonts w:ascii="David" w:hAnsi="David" w:cs="David" w:hint="cs"/>
          <w:sz w:val="24"/>
          <w:szCs w:val="24"/>
          <w:rtl/>
        </w:rPr>
        <w:t xml:space="preserve"> לפסיקה</w:t>
      </w:r>
      <w:r w:rsidR="00914F56" w:rsidRPr="00914F56">
        <w:rPr>
          <w:rtl/>
        </w:rPr>
        <w:t xml:space="preserve"> </w:t>
      </w:r>
      <w:r w:rsidR="00914F56" w:rsidRPr="00914F56">
        <w:rPr>
          <w:rFonts w:ascii="David" w:hAnsi="David" w:cs="David"/>
          <w:sz w:val="24"/>
          <w:szCs w:val="24"/>
          <w:rtl/>
        </w:rPr>
        <w:t>הפ"ב (מחוזי ת"א) 18580-10-17 ירדן צור נ' עופר פאר</w:t>
      </w:r>
      <w:r w:rsidR="002D37A6">
        <w:rPr>
          <w:rFonts w:ascii="David" w:hAnsi="David" w:cs="David" w:hint="cs"/>
          <w:sz w:val="24"/>
          <w:szCs w:val="24"/>
          <w:rtl/>
        </w:rPr>
        <w:t>.</w:t>
      </w:r>
    </w:p>
    <w:p w:rsidR="002D37A6" w:rsidRPr="00DB5785" w:rsidRDefault="002D37A6" w:rsidP="002931B7">
      <w:pPr>
        <w:pStyle w:val="af"/>
        <w:spacing w:line="360" w:lineRule="auto"/>
        <w:ind w:left="360"/>
        <w:jc w:val="both"/>
        <w:rPr>
          <w:rFonts w:ascii="David" w:hAnsi="David" w:cs="David"/>
          <w:sz w:val="24"/>
          <w:szCs w:val="24"/>
        </w:rPr>
      </w:pPr>
    </w:p>
    <w:p w:rsidR="005D4E8C" w:rsidRPr="00322493" w:rsidRDefault="00AB375F" w:rsidP="002931B7">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t xml:space="preserve">מנגד טוענים הנתבעים כי, יש לדחות טענות התובעים בהקשר זה. </w:t>
      </w:r>
      <w:r w:rsidR="005D4E8C" w:rsidRPr="003B6FBA">
        <w:rPr>
          <w:rFonts w:ascii="David" w:hAnsi="David" w:cs="David" w:hint="cs"/>
          <w:sz w:val="24"/>
          <w:szCs w:val="24"/>
          <w:rtl/>
        </w:rPr>
        <w:t>מדובר בניס</w:t>
      </w:r>
      <w:r w:rsidR="000110A3">
        <w:rPr>
          <w:rFonts w:ascii="David" w:hAnsi="David" w:cs="David" w:hint="cs"/>
          <w:sz w:val="24"/>
          <w:szCs w:val="24"/>
          <w:rtl/>
        </w:rPr>
        <w:t>י</w:t>
      </w:r>
      <w:r w:rsidR="005D4E8C" w:rsidRPr="003B6FBA">
        <w:rPr>
          <w:rFonts w:ascii="David" w:hAnsi="David" w:cs="David" w:hint="cs"/>
          <w:sz w:val="24"/>
          <w:szCs w:val="24"/>
          <w:rtl/>
        </w:rPr>
        <w:t>ון לדחוק טענות בד</w:t>
      </w:r>
      <w:r w:rsidR="005D4E8C">
        <w:rPr>
          <w:rFonts w:ascii="David" w:hAnsi="David" w:cs="David" w:hint="cs"/>
          <w:sz w:val="24"/>
          <w:szCs w:val="24"/>
          <w:rtl/>
        </w:rPr>
        <w:t>בר "סתירות" לעילה לפי סעיף24(5)</w:t>
      </w:r>
      <w:r>
        <w:rPr>
          <w:rFonts w:ascii="David" w:hAnsi="David" w:cs="David" w:hint="cs"/>
          <w:sz w:val="24"/>
          <w:szCs w:val="24"/>
          <w:rtl/>
        </w:rPr>
        <w:t xml:space="preserve">,כאשר אין מדובר בסעיף רלבנטי. אין סתירות בפסק הבוררות </w:t>
      </w:r>
      <w:r w:rsidR="00B43761">
        <w:rPr>
          <w:rFonts w:ascii="David" w:hAnsi="David" w:cs="David" w:hint="cs"/>
          <w:sz w:val="24"/>
          <w:szCs w:val="24"/>
          <w:rtl/>
        </w:rPr>
        <w:t>,</w:t>
      </w:r>
      <w:r>
        <w:rPr>
          <w:rFonts w:ascii="David" w:hAnsi="David" w:cs="David" w:hint="cs"/>
          <w:sz w:val="24"/>
          <w:szCs w:val="24"/>
          <w:rtl/>
        </w:rPr>
        <w:t>והסתירות אינן עילה לביט</w:t>
      </w:r>
      <w:r w:rsidR="00322493">
        <w:rPr>
          <w:rFonts w:ascii="David" w:hAnsi="David" w:cs="David" w:hint="cs"/>
          <w:sz w:val="24"/>
          <w:szCs w:val="24"/>
          <w:rtl/>
        </w:rPr>
        <w:t>ו</w:t>
      </w:r>
      <w:r>
        <w:rPr>
          <w:rFonts w:ascii="David" w:hAnsi="David" w:cs="David" w:hint="cs"/>
          <w:sz w:val="24"/>
          <w:szCs w:val="24"/>
          <w:rtl/>
        </w:rPr>
        <w:t xml:space="preserve">ל פסק </w:t>
      </w:r>
      <w:r w:rsidR="00322493">
        <w:rPr>
          <w:rFonts w:ascii="David" w:hAnsi="David" w:cs="David" w:hint="cs"/>
          <w:sz w:val="24"/>
          <w:szCs w:val="24"/>
          <w:rtl/>
        </w:rPr>
        <w:t>הבורר.</w:t>
      </w:r>
    </w:p>
    <w:p w:rsidR="00322493" w:rsidRPr="00B43761" w:rsidRDefault="00322493" w:rsidP="002931B7">
      <w:pPr>
        <w:pStyle w:val="af"/>
        <w:spacing w:line="360" w:lineRule="auto"/>
        <w:ind w:left="360"/>
        <w:jc w:val="both"/>
        <w:rPr>
          <w:rFonts w:ascii="David" w:hAnsi="David" w:cs="David"/>
          <w:b/>
          <w:bCs/>
          <w:sz w:val="24"/>
          <w:szCs w:val="24"/>
          <w:u w:val="single"/>
        </w:rPr>
      </w:pPr>
    </w:p>
    <w:p w:rsidR="00B43761" w:rsidRDefault="00AE71E0" w:rsidP="002931B7">
      <w:pPr>
        <w:pStyle w:val="af"/>
        <w:numPr>
          <w:ilvl w:val="0"/>
          <w:numId w:val="2"/>
        </w:numPr>
        <w:spacing w:line="360" w:lineRule="auto"/>
        <w:jc w:val="both"/>
        <w:rPr>
          <w:rFonts w:ascii="David" w:hAnsi="David" w:cs="David"/>
          <w:sz w:val="24"/>
          <w:szCs w:val="24"/>
        </w:rPr>
      </w:pPr>
      <w:r w:rsidRPr="00AE71E0">
        <w:rPr>
          <w:rFonts w:ascii="David" w:hAnsi="David" w:cs="David"/>
          <w:sz w:val="24"/>
          <w:szCs w:val="24"/>
          <w:rtl/>
        </w:rPr>
        <w:t>לאחר שבחנתי את טענות הצדדים, אני קובעת כי התובעים לא הצליחו להוכיח עילת ביט</w:t>
      </w:r>
      <w:r w:rsidR="00B43761">
        <w:rPr>
          <w:rFonts w:ascii="David" w:hAnsi="David" w:cs="David"/>
          <w:sz w:val="24"/>
          <w:szCs w:val="24"/>
          <w:rtl/>
        </w:rPr>
        <w:t>ול לפי סעיף 24(5) לחוק הבוררות</w:t>
      </w:r>
      <w:r w:rsidR="00B43761">
        <w:rPr>
          <w:rFonts w:ascii="David" w:hAnsi="David" w:cs="David" w:hint="cs"/>
          <w:sz w:val="24"/>
          <w:szCs w:val="24"/>
          <w:rtl/>
        </w:rPr>
        <w:t xml:space="preserve">, אשר </w:t>
      </w:r>
      <w:r w:rsidR="002A3C34" w:rsidRPr="00B43761">
        <w:rPr>
          <w:rFonts w:ascii="David" w:hAnsi="David" w:cs="David" w:hint="cs"/>
          <w:sz w:val="24"/>
          <w:szCs w:val="24"/>
          <w:rtl/>
        </w:rPr>
        <w:t xml:space="preserve">מתייחס למצב שהבורר </w:t>
      </w:r>
      <w:r w:rsidR="002A3C34" w:rsidRPr="00B43761">
        <w:rPr>
          <w:rFonts w:ascii="David" w:hAnsi="David" w:cs="David"/>
          <w:sz w:val="24"/>
          <w:szCs w:val="24"/>
          <w:rtl/>
        </w:rPr>
        <w:t>לא הכריע באחד העני</w:t>
      </w:r>
      <w:r w:rsidR="002A3C34" w:rsidRPr="00B43761">
        <w:rPr>
          <w:rFonts w:ascii="David" w:hAnsi="David" w:cs="David" w:hint="cs"/>
          <w:sz w:val="24"/>
          <w:szCs w:val="24"/>
          <w:rtl/>
        </w:rPr>
        <w:t>י</w:t>
      </w:r>
      <w:r w:rsidR="002A3C34" w:rsidRPr="00B43761">
        <w:rPr>
          <w:rFonts w:ascii="David" w:hAnsi="David" w:cs="David"/>
          <w:sz w:val="24"/>
          <w:szCs w:val="24"/>
          <w:rtl/>
        </w:rPr>
        <w:t>נים שנמסרו להכרעתו</w:t>
      </w:r>
      <w:r w:rsidR="00AB375F" w:rsidRPr="00B43761">
        <w:rPr>
          <w:rFonts w:ascii="David" w:hAnsi="David" w:cs="David" w:hint="cs"/>
          <w:sz w:val="24"/>
          <w:szCs w:val="24"/>
          <w:rtl/>
        </w:rPr>
        <w:t xml:space="preserve"> </w:t>
      </w:r>
      <w:r w:rsidR="002A3C34" w:rsidRPr="00B43761">
        <w:rPr>
          <w:rFonts w:ascii="David" w:hAnsi="David" w:cs="David" w:hint="cs"/>
          <w:sz w:val="24"/>
          <w:szCs w:val="24"/>
          <w:rtl/>
        </w:rPr>
        <w:t>,</w:t>
      </w:r>
      <w:r w:rsidR="00250C9C">
        <w:rPr>
          <w:rFonts w:ascii="David" w:hAnsi="David" w:cs="David" w:hint="cs"/>
          <w:sz w:val="24"/>
          <w:szCs w:val="24"/>
          <w:rtl/>
        </w:rPr>
        <w:t xml:space="preserve">כמו כן לא הוכח </w:t>
      </w:r>
      <w:r w:rsidR="00B43761">
        <w:rPr>
          <w:rFonts w:ascii="David" w:hAnsi="David" w:cs="David" w:hint="cs"/>
          <w:sz w:val="24"/>
          <w:szCs w:val="24"/>
          <w:rtl/>
        </w:rPr>
        <w:t>שיש סתירות בפסק הבורר</w:t>
      </w:r>
      <w:r w:rsidR="00250C9C">
        <w:rPr>
          <w:rFonts w:ascii="David" w:hAnsi="David" w:cs="David" w:hint="cs"/>
          <w:sz w:val="24"/>
          <w:szCs w:val="24"/>
          <w:rtl/>
        </w:rPr>
        <w:t>,</w:t>
      </w:r>
      <w:r w:rsidR="00893D05">
        <w:rPr>
          <w:rFonts w:ascii="David" w:hAnsi="David" w:cs="David" w:hint="cs"/>
          <w:sz w:val="24"/>
          <w:szCs w:val="24"/>
          <w:rtl/>
        </w:rPr>
        <w:t xml:space="preserve"> </w:t>
      </w:r>
      <w:r w:rsidR="00250C9C">
        <w:rPr>
          <w:rFonts w:ascii="David" w:hAnsi="David" w:cs="David" w:hint="cs"/>
          <w:sz w:val="24"/>
          <w:szCs w:val="24"/>
          <w:rtl/>
        </w:rPr>
        <w:t>או התעלמות מראיה מרכזית.</w:t>
      </w:r>
    </w:p>
    <w:p w:rsidR="00B43761" w:rsidRDefault="00B43761" w:rsidP="002931B7">
      <w:pPr>
        <w:pStyle w:val="af"/>
        <w:spacing w:line="360" w:lineRule="auto"/>
        <w:ind w:left="360"/>
        <w:jc w:val="both"/>
        <w:rPr>
          <w:rFonts w:ascii="David" w:hAnsi="David" w:cs="David"/>
          <w:sz w:val="24"/>
          <w:szCs w:val="24"/>
        </w:rPr>
      </w:pPr>
    </w:p>
    <w:p w:rsidR="00DC3708" w:rsidRPr="00250C9C" w:rsidRDefault="00FE0EA5" w:rsidP="002931B7">
      <w:pPr>
        <w:pStyle w:val="af"/>
        <w:numPr>
          <w:ilvl w:val="0"/>
          <w:numId w:val="2"/>
        </w:numPr>
        <w:spacing w:line="360" w:lineRule="auto"/>
        <w:jc w:val="both"/>
        <w:rPr>
          <w:rFonts w:ascii="David" w:hAnsi="David" w:cs="David"/>
          <w:sz w:val="24"/>
          <w:szCs w:val="24"/>
          <w:rtl/>
        </w:rPr>
      </w:pPr>
      <w:r w:rsidRPr="00250C9C">
        <w:rPr>
          <w:rFonts w:ascii="David" w:hAnsi="David" w:cs="David" w:hint="cs"/>
          <w:sz w:val="24"/>
          <w:szCs w:val="24"/>
          <w:rtl/>
        </w:rPr>
        <w:t>לפי ההלכה הפסוקה</w:t>
      </w:r>
      <w:r w:rsidRPr="00FE0EA5">
        <w:rPr>
          <w:rtl/>
        </w:rPr>
        <w:t xml:space="preserve"> </w:t>
      </w:r>
      <w:r w:rsidRPr="00250C9C">
        <w:rPr>
          <w:rFonts w:ascii="David" w:hAnsi="David" w:cs="David"/>
          <w:sz w:val="24"/>
          <w:szCs w:val="24"/>
          <w:rtl/>
        </w:rPr>
        <w:t xml:space="preserve"> בורר חייב להכריע בכל העניינים שנמסרו להכרעתו ולא להותיר שאלה הכלולה בנושא הבוררות ללא הכרעה סופית</w:t>
      </w:r>
      <w:r>
        <w:rPr>
          <w:rFonts w:hint="cs"/>
          <w:rtl/>
        </w:rPr>
        <w:t>,</w:t>
      </w:r>
      <w:r w:rsidR="00250C9C">
        <w:rPr>
          <w:rFonts w:hint="cs"/>
          <w:rtl/>
        </w:rPr>
        <w:t xml:space="preserve"> </w:t>
      </w:r>
      <w:r w:rsidRPr="00250C9C">
        <w:rPr>
          <w:rFonts w:ascii="David" w:hAnsi="David" w:cs="David"/>
          <w:sz w:val="24"/>
          <w:szCs w:val="24"/>
          <w:rtl/>
        </w:rPr>
        <w:t>אך  הבורר אינו חייב לפסוק בכל טענה וטענה ששוטח לפניו בעל דין, והוא רשאי להתייחס לטענות הדורשות הכרעה לדעתו</w:t>
      </w:r>
      <w:r w:rsidRPr="00250C9C">
        <w:rPr>
          <w:rFonts w:ascii="David" w:hAnsi="David" w:cs="David" w:hint="cs"/>
          <w:sz w:val="24"/>
          <w:szCs w:val="24"/>
          <w:rtl/>
        </w:rPr>
        <w:t xml:space="preserve"> (</w:t>
      </w:r>
      <w:r w:rsidRPr="00250C9C">
        <w:rPr>
          <w:rFonts w:ascii="David" w:hAnsi="David" w:cs="David"/>
          <w:sz w:val="24"/>
          <w:szCs w:val="24"/>
          <w:rtl/>
        </w:rPr>
        <w:t xml:space="preserve">רע"א 3821/18 כפר ידידה מושב עובדים בע"מ נ' עצמון מלצר </w:t>
      </w:r>
      <w:r w:rsidRPr="00250C9C">
        <w:rPr>
          <w:rFonts w:ascii="David" w:hAnsi="David" w:cs="David" w:hint="cs"/>
          <w:sz w:val="24"/>
          <w:szCs w:val="24"/>
          <w:rtl/>
        </w:rPr>
        <w:t>,</w:t>
      </w:r>
      <w:r w:rsidRPr="00250C9C">
        <w:rPr>
          <w:rFonts w:ascii="David" w:hAnsi="David" w:cs="David"/>
          <w:sz w:val="24"/>
          <w:szCs w:val="24"/>
          <w:rtl/>
        </w:rPr>
        <w:t xml:space="preserve">רע"א 4665/14 דוד וייל נ' רחמים כהן עזריהו </w:t>
      </w:r>
      <w:r w:rsidRPr="00250C9C">
        <w:rPr>
          <w:rFonts w:ascii="David" w:hAnsi="David" w:cs="David" w:hint="cs"/>
          <w:sz w:val="24"/>
          <w:szCs w:val="24"/>
          <w:rtl/>
        </w:rPr>
        <w:t>,</w:t>
      </w:r>
      <w:r w:rsidRPr="00FE0EA5">
        <w:rPr>
          <w:rtl/>
        </w:rPr>
        <w:t xml:space="preserve"> </w:t>
      </w:r>
      <w:r w:rsidRPr="00250C9C">
        <w:rPr>
          <w:rFonts w:ascii="David" w:hAnsi="David" w:cs="David"/>
          <w:sz w:val="24"/>
          <w:szCs w:val="24"/>
          <w:rtl/>
        </w:rPr>
        <w:t>רע"א 6543/05 קאפלה קומפיוטרס בע"מ</w:t>
      </w:r>
      <w:r w:rsidR="00305441" w:rsidRPr="00250C9C">
        <w:rPr>
          <w:rFonts w:ascii="David" w:hAnsi="David" w:cs="David"/>
          <w:sz w:val="24"/>
          <w:szCs w:val="24"/>
          <w:rtl/>
        </w:rPr>
        <w:t>;</w:t>
      </w:r>
      <w:r w:rsidRPr="00FE0EA5">
        <w:rPr>
          <w:rtl/>
        </w:rPr>
        <w:t xml:space="preserve"> </w:t>
      </w:r>
      <w:r w:rsidRPr="00250C9C">
        <w:rPr>
          <w:rFonts w:ascii="David" w:hAnsi="David" w:cs="David"/>
          <w:sz w:val="24"/>
          <w:szCs w:val="24"/>
          <w:rtl/>
        </w:rPr>
        <w:t>ע"א 5507/18 ג'ו דן</w:t>
      </w:r>
      <w:r w:rsidR="00DC3708" w:rsidRPr="00250C9C">
        <w:rPr>
          <w:rFonts w:ascii="David" w:hAnsi="David" w:cs="David"/>
          <w:sz w:val="24"/>
          <w:szCs w:val="24"/>
          <w:rtl/>
        </w:rPr>
        <w:t xml:space="preserve"> מור בע"מ נ' תהל מהנדסים </w:t>
      </w:r>
      <w:r w:rsidRPr="00250C9C">
        <w:rPr>
          <w:rFonts w:ascii="David" w:hAnsi="David" w:cs="David"/>
          <w:sz w:val="24"/>
          <w:szCs w:val="24"/>
          <w:rtl/>
        </w:rPr>
        <w:t xml:space="preserve"> בע"מ</w:t>
      </w:r>
      <w:r w:rsidR="00250C9C" w:rsidRPr="00250C9C">
        <w:rPr>
          <w:rFonts w:ascii="David" w:hAnsi="David" w:cs="David" w:hint="cs"/>
          <w:sz w:val="24"/>
          <w:szCs w:val="24"/>
          <w:rtl/>
        </w:rPr>
        <w:t>)</w:t>
      </w:r>
      <w:r w:rsidR="00DC3708" w:rsidRPr="00250C9C">
        <w:rPr>
          <w:rFonts w:ascii="David" w:hAnsi="David" w:cs="David" w:hint="cs"/>
          <w:sz w:val="24"/>
          <w:szCs w:val="24"/>
          <w:rtl/>
        </w:rPr>
        <w:t>.</w:t>
      </w:r>
      <w:r w:rsidR="00DC3708" w:rsidRPr="00DC3708">
        <w:rPr>
          <w:rtl/>
        </w:rPr>
        <w:t xml:space="preserve"> </w:t>
      </w:r>
    </w:p>
    <w:p w:rsidR="00914F56" w:rsidRDefault="00914F56" w:rsidP="002931B7">
      <w:pPr>
        <w:pStyle w:val="af"/>
        <w:spacing w:line="360" w:lineRule="auto"/>
        <w:ind w:left="360"/>
        <w:jc w:val="both"/>
        <w:rPr>
          <w:rFonts w:ascii="David" w:hAnsi="David" w:cs="David"/>
          <w:sz w:val="24"/>
          <w:szCs w:val="24"/>
        </w:rPr>
      </w:pPr>
    </w:p>
    <w:p w:rsidR="005D4E8C" w:rsidRPr="00322493" w:rsidRDefault="00DC3708" w:rsidP="002931B7">
      <w:pPr>
        <w:pStyle w:val="af"/>
        <w:spacing w:line="360" w:lineRule="auto"/>
        <w:ind w:left="360"/>
        <w:jc w:val="both"/>
        <w:rPr>
          <w:rFonts w:ascii="David" w:hAnsi="David" w:cs="David"/>
          <w:sz w:val="24"/>
          <w:szCs w:val="24"/>
          <w:rtl/>
        </w:rPr>
      </w:pPr>
      <w:r w:rsidRPr="00DC3708">
        <w:rPr>
          <w:rFonts w:ascii="David" w:hAnsi="David" w:cs="David"/>
          <w:sz w:val="24"/>
          <w:szCs w:val="24"/>
          <w:rtl/>
        </w:rPr>
        <w:t>לעני</w:t>
      </w:r>
      <w:r>
        <w:rPr>
          <w:rFonts w:ascii="David" w:hAnsi="David" w:cs="David" w:hint="cs"/>
          <w:sz w:val="24"/>
          <w:szCs w:val="24"/>
          <w:rtl/>
        </w:rPr>
        <w:t>י</w:t>
      </w:r>
      <w:r w:rsidRPr="00DC3708">
        <w:rPr>
          <w:rFonts w:ascii="David" w:hAnsi="David" w:cs="David"/>
          <w:sz w:val="24"/>
          <w:szCs w:val="24"/>
          <w:rtl/>
        </w:rPr>
        <w:t>ן התעלמות בורר מראיה מרכזית,</w:t>
      </w:r>
      <w:r w:rsidR="00250C9C">
        <w:rPr>
          <w:rFonts w:ascii="David" w:hAnsi="David" w:cs="David" w:hint="cs"/>
          <w:sz w:val="24"/>
          <w:szCs w:val="24"/>
          <w:rtl/>
        </w:rPr>
        <w:t xml:space="preserve"> </w:t>
      </w:r>
      <w:r>
        <w:rPr>
          <w:rFonts w:ascii="David" w:hAnsi="David" w:cs="David" w:hint="cs"/>
          <w:sz w:val="24"/>
          <w:szCs w:val="24"/>
          <w:rtl/>
        </w:rPr>
        <w:t xml:space="preserve">נקבע בפסיקה </w:t>
      </w:r>
      <w:r w:rsidRPr="00DC3708">
        <w:rPr>
          <w:rFonts w:ascii="David" w:hAnsi="David" w:cs="David"/>
          <w:sz w:val="24"/>
          <w:szCs w:val="24"/>
          <w:rtl/>
        </w:rPr>
        <w:t>כי מקום בו נשמטה מעיני הבורר, מסיבה כלשהי, ראיה מרכזית ומשמעותית הנוגעת למחלוקת בין הצדדים, כי אז מהווה הדבר עילת ביטול</w:t>
      </w:r>
      <w:r w:rsidRPr="00DC3708">
        <w:rPr>
          <w:rtl/>
        </w:rPr>
        <w:t xml:space="preserve"> </w:t>
      </w:r>
      <w:r w:rsidR="00322493">
        <w:rPr>
          <w:rFonts w:ascii="David" w:hAnsi="David" w:cs="David" w:hint="cs"/>
          <w:sz w:val="24"/>
          <w:szCs w:val="24"/>
          <w:rtl/>
        </w:rPr>
        <w:lastRenderedPageBreak/>
        <w:t>(</w:t>
      </w:r>
      <w:r w:rsidRPr="00DC3708">
        <w:rPr>
          <w:rFonts w:ascii="David" w:hAnsi="David" w:cs="David"/>
          <w:sz w:val="24"/>
          <w:szCs w:val="24"/>
          <w:rtl/>
        </w:rPr>
        <w:t xml:space="preserve">רע"א 979/16 אביב ושות' </w:t>
      </w:r>
      <w:r w:rsidR="00322493">
        <w:rPr>
          <w:rFonts w:ascii="David" w:hAnsi="David" w:cs="David"/>
          <w:sz w:val="24"/>
          <w:szCs w:val="24"/>
          <w:rtl/>
        </w:rPr>
        <w:t xml:space="preserve">בע"מ נ' ידידיה כהן </w:t>
      </w:r>
      <w:r w:rsidRPr="00DC3708">
        <w:rPr>
          <w:rFonts w:ascii="David" w:hAnsi="David" w:cs="David"/>
          <w:sz w:val="24"/>
          <w:szCs w:val="24"/>
          <w:rtl/>
        </w:rPr>
        <w:t xml:space="preserve"> בע"מ</w:t>
      </w:r>
      <w:r w:rsidRPr="00DC3708">
        <w:rPr>
          <w:rtl/>
        </w:rPr>
        <w:t xml:space="preserve"> </w:t>
      </w:r>
      <w:r>
        <w:rPr>
          <w:rFonts w:hint="cs"/>
          <w:rtl/>
        </w:rPr>
        <w:t>,</w:t>
      </w:r>
      <w:r w:rsidRPr="00DC3708">
        <w:rPr>
          <w:rFonts w:ascii="David" w:hAnsi="David" w:cs="David"/>
          <w:sz w:val="24"/>
          <w:szCs w:val="24"/>
          <w:rtl/>
        </w:rPr>
        <w:t>רע"א 5546/13 אחים שגראוי בע"מ נ' סימה ועקנין</w:t>
      </w:r>
      <w:r w:rsidR="00322493">
        <w:rPr>
          <w:rFonts w:ascii="David" w:hAnsi="David" w:cs="David" w:hint="cs"/>
          <w:sz w:val="24"/>
          <w:szCs w:val="24"/>
          <w:rtl/>
        </w:rPr>
        <w:t>).</w:t>
      </w:r>
    </w:p>
    <w:p w:rsidR="00322493" w:rsidRPr="00322493" w:rsidRDefault="00322493" w:rsidP="002931B7">
      <w:pPr>
        <w:pStyle w:val="af"/>
        <w:spacing w:line="360" w:lineRule="auto"/>
        <w:jc w:val="both"/>
        <w:rPr>
          <w:rFonts w:ascii="David" w:hAnsi="David" w:cs="David"/>
          <w:b/>
          <w:bCs/>
          <w:color w:val="000000"/>
          <w:sz w:val="24"/>
          <w:szCs w:val="24"/>
        </w:rPr>
      </w:pPr>
    </w:p>
    <w:p w:rsidR="004C5626" w:rsidRPr="004C5626" w:rsidRDefault="005D4E8C" w:rsidP="002931B7">
      <w:pPr>
        <w:pStyle w:val="af"/>
        <w:numPr>
          <w:ilvl w:val="0"/>
          <w:numId w:val="2"/>
        </w:numPr>
        <w:spacing w:line="360" w:lineRule="auto"/>
        <w:jc w:val="both"/>
        <w:rPr>
          <w:rFonts w:ascii="David" w:hAnsi="David" w:cs="David"/>
          <w:b/>
          <w:bCs/>
          <w:sz w:val="24"/>
          <w:szCs w:val="24"/>
          <w:u w:val="single"/>
        </w:rPr>
      </w:pPr>
      <w:r w:rsidRPr="002D37A6">
        <w:rPr>
          <w:rFonts w:ascii="David" w:hAnsi="David" w:cs="David" w:hint="cs"/>
          <w:sz w:val="24"/>
          <w:szCs w:val="24"/>
          <w:rtl/>
        </w:rPr>
        <w:t xml:space="preserve">תחילה אתייחס לפס"ד אליו הפנו התובעים- </w:t>
      </w:r>
      <w:r w:rsidRPr="002D37A6">
        <w:rPr>
          <w:rFonts w:ascii="David" w:hAnsi="David" w:cs="David"/>
          <w:sz w:val="24"/>
          <w:szCs w:val="24"/>
          <w:rtl/>
        </w:rPr>
        <w:t>הפ"ב (מחוזי ת"א) 18580-10-17 </w:t>
      </w:r>
      <w:r w:rsidR="002D37A6" w:rsidRPr="002D37A6">
        <w:rPr>
          <w:rFonts w:ascii="David" w:hAnsi="David" w:cs="David" w:hint="cs"/>
          <w:sz w:val="24"/>
          <w:szCs w:val="24"/>
          <w:rtl/>
        </w:rPr>
        <w:t>-</w:t>
      </w:r>
      <w:r w:rsidRPr="002D37A6">
        <w:rPr>
          <w:rFonts w:ascii="David" w:hAnsi="David" w:cs="David" w:hint="cs"/>
          <w:sz w:val="24"/>
          <w:szCs w:val="24"/>
          <w:rtl/>
        </w:rPr>
        <w:t>פרשת צור.</w:t>
      </w:r>
      <w:r w:rsidR="002D37A6" w:rsidRPr="002D37A6">
        <w:rPr>
          <w:rFonts w:ascii="David" w:hAnsi="David" w:cs="David" w:hint="cs"/>
          <w:sz w:val="24"/>
          <w:szCs w:val="24"/>
          <w:rtl/>
        </w:rPr>
        <w:t xml:space="preserve"> </w:t>
      </w:r>
      <w:r w:rsidR="004C5626">
        <w:rPr>
          <w:rFonts w:ascii="David" w:hAnsi="David" w:cs="David" w:hint="cs"/>
          <w:sz w:val="24"/>
          <w:szCs w:val="24"/>
          <w:rtl/>
        </w:rPr>
        <w:t>אין בפסק דין בכדי להושיע לתובעים.</w:t>
      </w:r>
    </w:p>
    <w:p w:rsidR="004C5626" w:rsidRPr="004C5626" w:rsidRDefault="004C5626" w:rsidP="002931B7">
      <w:pPr>
        <w:spacing w:line="360" w:lineRule="auto"/>
        <w:ind w:left="360"/>
        <w:jc w:val="both"/>
        <w:rPr>
          <w:rFonts w:ascii="David" w:hAnsi="David"/>
          <w:rtl/>
        </w:rPr>
      </w:pPr>
      <w:r w:rsidRPr="00C139DB">
        <w:rPr>
          <w:rFonts w:ascii="David" w:hAnsi="David" w:hint="cs"/>
          <w:u w:val="single"/>
          <w:rtl/>
        </w:rPr>
        <w:t>ראשית</w:t>
      </w:r>
      <w:r>
        <w:rPr>
          <w:rFonts w:ascii="David" w:hAnsi="David" w:hint="cs"/>
          <w:rtl/>
        </w:rPr>
        <w:t>, בפרשת צור קבע ביהמ"ש כי</w:t>
      </w:r>
      <w:r w:rsidR="00250C9C">
        <w:rPr>
          <w:rFonts w:ascii="David" w:hAnsi="David" w:hint="cs"/>
          <w:rtl/>
        </w:rPr>
        <w:t>,</w:t>
      </w:r>
      <w:r>
        <w:rPr>
          <w:rFonts w:ascii="David" w:hAnsi="David" w:hint="cs"/>
          <w:rtl/>
        </w:rPr>
        <w:t xml:space="preserve"> עילת  ביטול פסק הבורר עניינה בהיעדר הכרעה</w:t>
      </w:r>
      <w:r w:rsidR="002B2414">
        <w:rPr>
          <w:rFonts w:ascii="David" w:hAnsi="David" w:hint="cs"/>
          <w:rtl/>
        </w:rPr>
        <w:t xml:space="preserve"> בשאלה שהועמדה להכרעת הבורר, עקב הסתירות הבולטות לעין בקביעות הבורר שאין דרך ליישבן. וכדברי ביהמ"ש שם:</w:t>
      </w:r>
    </w:p>
    <w:p w:rsidR="005D4E8C" w:rsidRPr="00A60585" w:rsidRDefault="002B2414" w:rsidP="002931B7">
      <w:pPr>
        <w:spacing w:line="360" w:lineRule="auto"/>
        <w:ind w:left="360"/>
        <w:jc w:val="both"/>
        <w:rPr>
          <w:b/>
          <w:bCs/>
          <w:color w:val="000000"/>
          <w:rtl/>
        </w:rPr>
      </w:pPr>
      <w:r>
        <w:rPr>
          <w:b/>
          <w:bCs/>
          <w:color w:val="000000"/>
        </w:rPr>
        <w:t>"</w:t>
      </w:r>
      <w:r w:rsidR="005D4E8C" w:rsidRPr="00A60585">
        <w:rPr>
          <w:b/>
          <w:bCs/>
          <w:color w:val="000000"/>
          <w:rtl/>
        </w:rPr>
        <w:t xml:space="preserve">עיון בפסק הבוררות מעלה כי הוא אכן לוקה בסתירות פנימיות ובקביעות שאינן מתיישבות זו עם זו. הקביעות הסותרות מתבטאות בראש ובראשונה בהקשר למשלוח המכתב לבנק ובמענה לשאלה האם רשאי היה ירדן, נוכח הנסיבות, לשלוח את המכתב לבנק, או שמא לא היה רשאי לעשות כן ובכך עיוול כלפי המשיבים וגרם להם לנזק. להלן נראה כי קביעותיו של הבורר בהקשר לשאלה זו הינן תרתי דסתרי, </w:t>
      </w:r>
      <w:r w:rsidR="005D4E8C" w:rsidRPr="00250C9C">
        <w:rPr>
          <w:b/>
          <w:bCs/>
          <w:color w:val="000000"/>
          <w:u w:val="single"/>
          <w:rtl/>
        </w:rPr>
        <w:t xml:space="preserve">וכי בסופו של דבר השאלה נותרת ללא הכרעה ברורה. </w:t>
      </w:r>
      <w:r w:rsidR="005D4E8C" w:rsidRPr="00250C9C">
        <w:rPr>
          <w:rFonts w:hint="cs"/>
          <w:b/>
          <w:bCs/>
          <w:color w:val="000000"/>
          <w:u w:val="single"/>
          <w:rtl/>
        </w:rPr>
        <w:t>...</w:t>
      </w:r>
    </w:p>
    <w:p w:rsidR="005D4E8C" w:rsidRDefault="005D4E8C" w:rsidP="002931B7">
      <w:pPr>
        <w:spacing w:line="360" w:lineRule="auto"/>
        <w:ind w:left="360"/>
        <w:jc w:val="both"/>
        <w:rPr>
          <w:b/>
          <w:bCs/>
          <w:color w:val="000000"/>
          <w:rtl/>
        </w:rPr>
      </w:pPr>
      <w:r w:rsidRPr="00A60585">
        <w:rPr>
          <w:b/>
          <w:bCs/>
          <w:color w:val="000000"/>
          <w:rtl/>
        </w:rPr>
        <w:t>משהסתירות בקביעות לעיל בולטות לעין ואין דרך ליישב אותן במשתמע מפסק הבוררות, הרי לפנינו עילת ביטול שעניינה בהיעדר הכ</w:t>
      </w:r>
      <w:r w:rsidR="002B2414">
        <w:rPr>
          <w:b/>
          <w:bCs/>
          <w:color w:val="000000"/>
          <w:rtl/>
        </w:rPr>
        <w:t>רעה בשאלה שהועמדה להכרעת הבורר</w:t>
      </w:r>
      <w:r w:rsidR="002B2414">
        <w:rPr>
          <w:rFonts w:hint="cs"/>
          <w:b/>
          <w:bCs/>
          <w:color w:val="000000"/>
          <w:rtl/>
        </w:rPr>
        <w:t>.."</w:t>
      </w:r>
    </w:p>
    <w:p w:rsidR="005D4E8C" w:rsidRDefault="002B2414" w:rsidP="002931B7">
      <w:pPr>
        <w:pStyle w:val="af"/>
        <w:spacing w:line="360" w:lineRule="auto"/>
        <w:ind w:left="360"/>
        <w:jc w:val="both"/>
        <w:rPr>
          <w:rFonts w:ascii="David" w:hAnsi="David" w:cs="David"/>
          <w:b/>
          <w:bCs/>
          <w:sz w:val="24"/>
          <w:szCs w:val="24"/>
          <w:u w:val="single"/>
        </w:rPr>
      </w:pPr>
      <w:r w:rsidRPr="00C139DB">
        <w:rPr>
          <w:rFonts w:ascii="David" w:hAnsi="David" w:cs="David" w:hint="cs"/>
          <w:sz w:val="24"/>
          <w:szCs w:val="24"/>
          <w:u w:val="single"/>
          <w:rtl/>
        </w:rPr>
        <w:t>שנית</w:t>
      </w:r>
      <w:r>
        <w:rPr>
          <w:rFonts w:ascii="David" w:hAnsi="David" w:cs="David" w:hint="cs"/>
          <w:sz w:val="24"/>
          <w:szCs w:val="24"/>
          <w:rtl/>
        </w:rPr>
        <w:t>,</w:t>
      </w:r>
      <w:r w:rsidR="004B733C">
        <w:rPr>
          <w:rFonts w:ascii="David" w:hAnsi="David" w:cs="David" w:hint="cs"/>
          <w:sz w:val="24"/>
          <w:szCs w:val="24"/>
          <w:rtl/>
        </w:rPr>
        <w:t xml:space="preserve"> </w:t>
      </w:r>
      <w:r w:rsidR="00C139DB">
        <w:rPr>
          <w:rFonts w:ascii="David" w:hAnsi="David" w:cs="David" w:hint="cs"/>
          <w:sz w:val="24"/>
          <w:szCs w:val="24"/>
          <w:rtl/>
        </w:rPr>
        <w:t>נסיבות פס"ד צור</w:t>
      </w:r>
      <w:r w:rsidR="005D4E8C" w:rsidRPr="00075E19">
        <w:rPr>
          <w:rFonts w:ascii="David" w:hAnsi="David" w:cs="David" w:hint="cs"/>
          <w:sz w:val="24"/>
          <w:szCs w:val="24"/>
          <w:rtl/>
        </w:rPr>
        <w:t xml:space="preserve"> שונות </w:t>
      </w:r>
      <w:r>
        <w:rPr>
          <w:rFonts w:ascii="David" w:hAnsi="David" w:cs="David" w:hint="cs"/>
          <w:sz w:val="24"/>
          <w:szCs w:val="24"/>
          <w:rtl/>
        </w:rPr>
        <w:t>בתכלית מ</w:t>
      </w:r>
      <w:r w:rsidR="00C139DB">
        <w:rPr>
          <w:rFonts w:ascii="David" w:hAnsi="David" w:cs="David" w:hint="cs"/>
          <w:sz w:val="24"/>
          <w:szCs w:val="24"/>
          <w:rtl/>
        </w:rPr>
        <w:t>הנסיבות כאן.</w:t>
      </w:r>
      <w:r w:rsidR="00250C9C">
        <w:rPr>
          <w:rFonts w:ascii="David" w:hAnsi="David" w:cs="David" w:hint="cs"/>
          <w:sz w:val="24"/>
          <w:szCs w:val="24"/>
          <w:rtl/>
        </w:rPr>
        <w:t xml:space="preserve"> </w:t>
      </w:r>
      <w:r>
        <w:rPr>
          <w:rFonts w:ascii="David" w:hAnsi="David" w:cs="David" w:hint="cs"/>
          <w:sz w:val="24"/>
          <w:szCs w:val="24"/>
          <w:rtl/>
        </w:rPr>
        <w:t>כפי שני</w:t>
      </w:r>
      <w:r w:rsidR="005D4E8C" w:rsidRPr="00075E19">
        <w:rPr>
          <w:rFonts w:ascii="David" w:hAnsi="David" w:cs="David" w:hint="cs"/>
          <w:sz w:val="24"/>
          <w:szCs w:val="24"/>
          <w:rtl/>
        </w:rPr>
        <w:t>וו</w:t>
      </w:r>
      <w:r w:rsidR="00C139DB">
        <w:rPr>
          <w:rFonts w:ascii="David" w:hAnsi="David" w:cs="David" w:hint="cs"/>
          <w:sz w:val="24"/>
          <w:szCs w:val="24"/>
          <w:rtl/>
        </w:rPr>
        <w:t>כ</w:t>
      </w:r>
      <w:r w:rsidR="005D4E8C" w:rsidRPr="00075E19">
        <w:rPr>
          <w:rFonts w:ascii="David" w:hAnsi="David" w:cs="David" w:hint="cs"/>
          <w:sz w:val="24"/>
          <w:szCs w:val="24"/>
          <w:rtl/>
        </w:rPr>
        <w:t xml:space="preserve">ח להלן, אין בפסק </w:t>
      </w:r>
      <w:r>
        <w:rPr>
          <w:rFonts w:ascii="David" w:hAnsi="David" w:cs="David" w:hint="cs"/>
          <w:sz w:val="24"/>
          <w:szCs w:val="24"/>
          <w:rtl/>
        </w:rPr>
        <w:t>ה</w:t>
      </w:r>
      <w:r w:rsidR="005D4E8C" w:rsidRPr="00075E19">
        <w:rPr>
          <w:rFonts w:ascii="David" w:hAnsi="David" w:cs="David" w:hint="cs"/>
          <w:sz w:val="24"/>
          <w:szCs w:val="24"/>
          <w:rtl/>
        </w:rPr>
        <w:t xml:space="preserve">בוררות </w:t>
      </w:r>
      <w:r>
        <w:rPr>
          <w:rFonts w:ascii="David" w:hAnsi="David" w:cs="David" w:hint="cs"/>
          <w:sz w:val="24"/>
          <w:szCs w:val="24"/>
          <w:rtl/>
        </w:rPr>
        <w:t xml:space="preserve">שבפנינו </w:t>
      </w:r>
      <w:r w:rsidR="00C139DB">
        <w:rPr>
          <w:rFonts w:ascii="David" w:hAnsi="David" w:cs="David" w:hint="cs"/>
          <w:sz w:val="24"/>
          <w:szCs w:val="24"/>
          <w:rtl/>
        </w:rPr>
        <w:t>סתירות פנימיות</w:t>
      </w:r>
      <w:r w:rsidR="005D4E8C" w:rsidRPr="00075E19">
        <w:rPr>
          <w:rFonts w:ascii="David" w:hAnsi="David" w:cs="David" w:hint="cs"/>
          <w:sz w:val="24"/>
          <w:szCs w:val="24"/>
          <w:rtl/>
        </w:rPr>
        <w:t>, ואין קביעות שאינן מתיישבות זו</w:t>
      </w:r>
      <w:r w:rsidR="00250C9C">
        <w:rPr>
          <w:rFonts w:ascii="David" w:hAnsi="David" w:cs="David" w:hint="cs"/>
          <w:sz w:val="24"/>
          <w:szCs w:val="24"/>
          <w:rtl/>
        </w:rPr>
        <w:t xml:space="preserve"> עם זו עד שאין הכרעה </w:t>
      </w:r>
      <w:r w:rsidR="004B733C">
        <w:rPr>
          <w:rFonts w:ascii="David" w:hAnsi="David" w:cs="David" w:hint="cs"/>
          <w:sz w:val="24"/>
          <w:szCs w:val="24"/>
          <w:rtl/>
        </w:rPr>
        <w:t>בשאלה שהועמדה להכרעת הבורר.</w:t>
      </w:r>
    </w:p>
    <w:p w:rsidR="005D4E8C" w:rsidRPr="00075E19" w:rsidRDefault="005D4E8C" w:rsidP="002931B7">
      <w:pPr>
        <w:pStyle w:val="af"/>
        <w:spacing w:line="360" w:lineRule="auto"/>
        <w:jc w:val="both"/>
        <w:rPr>
          <w:rFonts w:ascii="David" w:hAnsi="David" w:cs="David"/>
          <w:b/>
          <w:bCs/>
          <w:sz w:val="24"/>
          <w:szCs w:val="24"/>
          <w:u w:val="single"/>
        </w:rPr>
      </w:pPr>
    </w:p>
    <w:p w:rsidR="005D4E8C" w:rsidRPr="00075E19" w:rsidRDefault="00C139DB" w:rsidP="002931B7">
      <w:pPr>
        <w:pStyle w:val="af"/>
        <w:numPr>
          <w:ilvl w:val="0"/>
          <w:numId w:val="2"/>
        </w:numPr>
        <w:spacing w:line="360" w:lineRule="auto"/>
        <w:jc w:val="both"/>
        <w:rPr>
          <w:rFonts w:ascii="David" w:hAnsi="David" w:cs="David"/>
          <w:b/>
          <w:bCs/>
          <w:sz w:val="24"/>
          <w:szCs w:val="24"/>
          <w:u w:val="single"/>
        </w:rPr>
      </w:pPr>
      <w:r>
        <w:rPr>
          <w:rFonts w:ascii="David" w:hAnsi="David" w:cs="David" w:hint="cs"/>
          <w:sz w:val="24"/>
          <w:szCs w:val="24"/>
          <w:rtl/>
        </w:rPr>
        <w:t>אתי</w:t>
      </w:r>
      <w:r w:rsidR="00250C9C">
        <w:rPr>
          <w:rFonts w:ascii="David" w:hAnsi="David" w:cs="David" w:hint="cs"/>
          <w:sz w:val="24"/>
          <w:szCs w:val="24"/>
          <w:rtl/>
        </w:rPr>
        <w:t>יחס להלן ל"סתירות ו/און התעלמות</w:t>
      </w:r>
      <w:r>
        <w:rPr>
          <w:rFonts w:ascii="David" w:hAnsi="David" w:cs="David" w:hint="cs"/>
          <w:sz w:val="24"/>
          <w:szCs w:val="24"/>
          <w:rtl/>
        </w:rPr>
        <w:t xml:space="preserve"> מראיות </w:t>
      </w:r>
      <w:r w:rsidR="005D4E8C" w:rsidRPr="00075E19">
        <w:rPr>
          <w:rFonts w:ascii="David" w:hAnsi="David" w:cs="David" w:hint="cs"/>
          <w:sz w:val="24"/>
          <w:szCs w:val="24"/>
          <w:rtl/>
        </w:rPr>
        <w:t xml:space="preserve"> אליהן הפנו התובעים.</w:t>
      </w:r>
    </w:p>
    <w:p w:rsidR="005D4E8C" w:rsidRPr="00250C9C" w:rsidRDefault="005D4E8C" w:rsidP="002931B7">
      <w:pPr>
        <w:pStyle w:val="af"/>
        <w:spacing w:line="360" w:lineRule="auto"/>
        <w:jc w:val="both"/>
        <w:rPr>
          <w:rFonts w:ascii="David" w:hAnsi="David" w:cs="David"/>
          <w:b/>
          <w:bCs/>
          <w:sz w:val="24"/>
          <w:szCs w:val="24"/>
          <w:u w:val="single"/>
          <w:rtl/>
        </w:rPr>
      </w:pPr>
    </w:p>
    <w:p w:rsidR="005D4E8C" w:rsidRPr="00523DAB" w:rsidRDefault="00C139DB" w:rsidP="002931B7">
      <w:pPr>
        <w:spacing w:line="360" w:lineRule="auto"/>
        <w:jc w:val="both"/>
        <w:rPr>
          <w:rFonts w:ascii="David" w:hAnsi="David"/>
          <w:u w:val="single"/>
        </w:rPr>
      </w:pPr>
      <w:r w:rsidRPr="00523DAB">
        <w:rPr>
          <w:rFonts w:ascii="David" w:hAnsi="David" w:hint="cs"/>
          <w:u w:val="single"/>
          <w:rtl/>
        </w:rPr>
        <w:t xml:space="preserve">סתירה בענין רישום הנכס </w:t>
      </w:r>
      <w:r w:rsidR="005D4E8C" w:rsidRPr="00523DAB">
        <w:rPr>
          <w:rFonts w:ascii="David" w:hAnsi="David" w:hint="cs"/>
          <w:u w:val="single"/>
          <w:rtl/>
        </w:rPr>
        <w:t xml:space="preserve"> </w:t>
      </w:r>
    </w:p>
    <w:p w:rsidR="0061765C" w:rsidRPr="0061765C" w:rsidRDefault="005D4E8C" w:rsidP="002931B7">
      <w:pPr>
        <w:pStyle w:val="af"/>
        <w:numPr>
          <w:ilvl w:val="0"/>
          <w:numId w:val="2"/>
        </w:numPr>
        <w:spacing w:line="360" w:lineRule="auto"/>
        <w:jc w:val="both"/>
        <w:rPr>
          <w:rFonts w:ascii="David" w:hAnsi="David" w:cs="David"/>
          <w:b/>
          <w:bCs/>
          <w:sz w:val="24"/>
          <w:szCs w:val="24"/>
          <w:u w:val="single"/>
        </w:rPr>
      </w:pPr>
      <w:r w:rsidRPr="0057559C">
        <w:rPr>
          <w:rFonts w:ascii="David" w:hAnsi="David" w:cs="David" w:hint="cs"/>
          <w:sz w:val="24"/>
          <w:szCs w:val="24"/>
          <w:rtl/>
        </w:rPr>
        <w:t xml:space="preserve">לשיטת התובעים, הבוררת קבעה כי התובעים אינם יכולים להירשם כבעלי הנכס, מאחר ובבעלותם נכס אחר. </w:t>
      </w:r>
      <w:r>
        <w:rPr>
          <w:rFonts w:ascii="David" w:hAnsi="David" w:cs="David" w:hint="cs"/>
          <w:sz w:val="24"/>
          <w:szCs w:val="24"/>
          <w:rtl/>
        </w:rPr>
        <w:t>דא עקא לתובעת</w:t>
      </w:r>
      <w:r w:rsidR="00C139DB">
        <w:rPr>
          <w:rFonts w:ascii="David" w:hAnsi="David" w:cs="David" w:hint="cs"/>
          <w:sz w:val="24"/>
          <w:szCs w:val="24"/>
          <w:rtl/>
        </w:rPr>
        <w:t xml:space="preserve"> מס' 2</w:t>
      </w:r>
      <w:r>
        <w:rPr>
          <w:rFonts w:ascii="David" w:hAnsi="David" w:cs="David" w:hint="cs"/>
          <w:sz w:val="24"/>
          <w:szCs w:val="24"/>
          <w:rtl/>
        </w:rPr>
        <w:t xml:space="preserve"> אין נכס על שמה והיא רשאית להירשם כבעלת הנכס, ולראיה מפנים</w:t>
      </w:r>
      <w:r w:rsidR="00C139DB">
        <w:rPr>
          <w:rFonts w:ascii="David" w:hAnsi="David" w:cs="David" w:hint="cs"/>
          <w:sz w:val="24"/>
          <w:szCs w:val="24"/>
          <w:rtl/>
        </w:rPr>
        <w:t xml:space="preserve"> התובעים לדברי בא כוחם </w:t>
      </w:r>
      <w:r w:rsidR="0061765C">
        <w:rPr>
          <w:rFonts w:ascii="David" w:hAnsi="David" w:cs="David" w:hint="cs"/>
          <w:sz w:val="24"/>
          <w:szCs w:val="24"/>
          <w:rtl/>
        </w:rPr>
        <w:t>ב</w:t>
      </w:r>
      <w:r>
        <w:rPr>
          <w:rFonts w:ascii="David" w:hAnsi="David" w:cs="David" w:hint="cs"/>
          <w:sz w:val="24"/>
          <w:szCs w:val="24"/>
          <w:rtl/>
        </w:rPr>
        <w:t xml:space="preserve">פרוטוקול </w:t>
      </w:r>
      <w:r w:rsidR="0061765C">
        <w:rPr>
          <w:rFonts w:ascii="David" w:hAnsi="David" w:cs="David" w:hint="cs"/>
          <w:sz w:val="24"/>
          <w:szCs w:val="24"/>
          <w:rtl/>
        </w:rPr>
        <w:t>ה</w:t>
      </w:r>
      <w:r>
        <w:rPr>
          <w:rFonts w:ascii="David" w:hAnsi="David" w:cs="David" w:hint="cs"/>
          <w:sz w:val="24"/>
          <w:szCs w:val="24"/>
          <w:rtl/>
        </w:rPr>
        <w:t>דיון</w:t>
      </w:r>
      <w:r w:rsidR="00C139DB">
        <w:rPr>
          <w:rFonts w:ascii="David" w:hAnsi="David" w:cs="David" w:hint="cs"/>
          <w:sz w:val="24"/>
          <w:szCs w:val="24"/>
          <w:rtl/>
        </w:rPr>
        <w:t xml:space="preserve"> בפני ביהמ"ש</w:t>
      </w:r>
      <w:r w:rsidR="0061765C">
        <w:rPr>
          <w:rFonts w:ascii="David" w:hAnsi="David" w:cs="David" w:hint="cs"/>
          <w:sz w:val="24"/>
          <w:szCs w:val="24"/>
          <w:rtl/>
        </w:rPr>
        <w:t xml:space="preserve"> מיום</w:t>
      </w:r>
      <w:r w:rsidR="00C139DB">
        <w:rPr>
          <w:rFonts w:ascii="David" w:hAnsi="David" w:cs="David" w:hint="cs"/>
          <w:sz w:val="24"/>
          <w:szCs w:val="24"/>
          <w:rtl/>
        </w:rPr>
        <w:t xml:space="preserve"> </w:t>
      </w:r>
      <w:r>
        <w:rPr>
          <w:rFonts w:ascii="David" w:hAnsi="David" w:cs="David" w:hint="cs"/>
          <w:sz w:val="24"/>
          <w:szCs w:val="24"/>
          <w:rtl/>
        </w:rPr>
        <w:t xml:space="preserve"> 12/11/18-</w:t>
      </w:r>
      <w:r w:rsidR="0061765C">
        <w:rPr>
          <w:rFonts w:ascii="David" w:hAnsi="David" w:cs="David" w:hint="cs"/>
          <w:sz w:val="24"/>
          <w:szCs w:val="24"/>
          <w:rtl/>
        </w:rPr>
        <w:t xml:space="preserve"> שם מסר :" </w:t>
      </w:r>
      <w:r w:rsidR="0061765C" w:rsidRPr="0005089D">
        <w:rPr>
          <w:rFonts w:ascii="David" w:hAnsi="David" w:cs="David" w:hint="cs"/>
          <w:b/>
          <w:bCs/>
          <w:sz w:val="24"/>
          <w:szCs w:val="24"/>
          <w:rtl/>
        </w:rPr>
        <w:t>אייני רואה כל מניעה לרשום את התובעת 2 ,אין לה בית והיא עומדת בתנאי הסף".</w:t>
      </w:r>
      <w:r w:rsidR="0005089D" w:rsidRPr="0005089D">
        <w:rPr>
          <w:rFonts w:ascii="David" w:hAnsi="David" w:cs="David"/>
          <w:sz w:val="24"/>
          <w:szCs w:val="24"/>
          <w:rtl/>
        </w:rPr>
        <w:t>(עמ2ש1)</w:t>
      </w:r>
    </w:p>
    <w:p w:rsidR="00CA656D" w:rsidRDefault="0061765C" w:rsidP="0013508B">
      <w:pPr>
        <w:pStyle w:val="af"/>
        <w:spacing w:line="360" w:lineRule="auto"/>
        <w:ind w:left="360"/>
        <w:jc w:val="both"/>
        <w:rPr>
          <w:rFonts w:ascii="David" w:hAnsi="David" w:cs="David"/>
          <w:sz w:val="24"/>
          <w:szCs w:val="24"/>
          <w:rtl/>
        </w:rPr>
      </w:pPr>
      <w:r>
        <w:rPr>
          <w:rFonts w:ascii="David" w:hAnsi="David" w:cs="David" w:hint="cs"/>
          <w:sz w:val="24"/>
          <w:szCs w:val="24"/>
          <w:rtl/>
        </w:rPr>
        <w:t xml:space="preserve">לשיטת התובעים פרוטוקול הדיון הנ"ל </w:t>
      </w:r>
      <w:r w:rsidR="005D4E8C">
        <w:rPr>
          <w:rFonts w:ascii="David" w:hAnsi="David" w:cs="David" w:hint="cs"/>
          <w:sz w:val="24"/>
          <w:szCs w:val="24"/>
          <w:rtl/>
        </w:rPr>
        <w:t xml:space="preserve"> עמ</w:t>
      </w:r>
      <w:r>
        <w:rPr>
          <w:rFonts w:ascii="David" w:hAnsi="David" w:cs="David" w:hint="cs"/>
          <w:sz w:val="24"/>
          <w:szCs w:val="24"/>
          <w:rtl/>
        </w:rPr>
        <w:t>ד בפני הבוררת בטרם נתנה את הפסק, אך הבוררת  התעלמה</w:t>
      </w:r>
      <w:r w:rsidR="005D4E8C">
        <w:rPr>
          <w:rFonts w:ascii="David" w:hAnsi="David" w:cs="David" w:hint="cs"/>
          <w:sz w:val="24"/>
          <w:szCs w:val="24"/>
          <w:rtl/>
        </w:rPr>
        <w:t xml:space="preserve"> מ</w:t>
      </w:r>
      <w:r>
        <w:rPr>
          <w:rFonts w:ascii="David" w:hAnsi="David" w:cs="David" w:hint="cs"/>
          <w:sz w:val="24"/>
          <w:szCs w:val="24"/>
          <w:rtl/>
        </w:rPr>
        <w:t>ראיה משמעותית(פרוטוקול הדיון הנ"ל צורף כנספח ד' לתביעה לביטול פסק הבורר).</w:t>
      </w:r>
    </w:p>
    <w:p w:rsidR="0013508B" w:rsidRPr="0013508B" w:rsidRDefault="0013508B" w:rsidP="0013508B">
      <w:pPr>
        <w:pStyle w:val="af"/>
        <w:spacing w:line="360" w:lineRule="auto"/>
        <w:ind w:left="360"/>
        <w:jc w:val="both"/>
        <w:rPr>
          <w:rFonts w:ascii="David" w:hAnsi="David" w:cs="David"/>
          <w:b/>
          <w:bCs/>
          <w:sz w:val="24"/>
          <w:szCs w:val="24"/>
          <w:u w:val="single"/>
          <w:rtl/>
        </w:rPr>
      </w:pPr>
    </w:p>
    <w:p w:rsidR="00523DAB" w:rsidRDefault="00CA656D" w:rsidP="002931B7">
      <w:pPr>
        <w:pStyle w:val="af"/>
        <w:numPr>
          <w:ilvl w:val="0"/>
          <w:numId w:val="2"/>
        </w:numPr>
        <w:spacing w:line="360" w:lineRule="auto"/>
        <w:jc w:val="both"/>
        <w:rPr>
          <w:rFonts w:ascii="David" w:hAnsi="David" w:cs="David"/>
          <w:sz w:val="24"/>
          <w:szCs w:val="24"/>
        </w:rPr>
      </w:pPr>
      <w:r w:rsidRPr="00CA656D">
        <w:rPr>
          <w:rFonts w:ascii="David" w:hAnsi="David" w:cs="David"/>
          <w:sz w:val="24"/>
          <w:szCs w:val="24"/>
          <w:rtl/>
        </w:rPr>
        <w:t xml:space="preserve">התובעים לא הוכיחו גרסתם זו . הבוררת בפסק </w:t>
      </w:r>
      <w:r>
        <w:rPr>
          <w:rFonts w:ascii="David" w:hAnsi="David" w:cs="David" w:hint="cs"/>
          <w:sz w:val="24"/>
          <w:szCs w:val="24"/>
          <w:rtl/>
        </w:rPr>
        <w:t>ה</w:t>
      </w:r>
      <w:r w:rsidRPr="00CA656D">
        <w:rPr>
          <w:rFonts w:ascii="David" w:hAnsi="David" w:cs="David"/>
          <w:sz w:val="24"/>
          <w:szCs w:val="24"/>
          <w:rtl/>
        </w:rPr>
        <w:t xml:space="preserve">בורר, קבעה ( (סעיף13) </w:t>
      </w:r>
      <w:r w:rsidRPr="00CA656D">
        <w:rPr>
          <w:rFonts w:ascii="David" w:hAnsi="David" w:cs="David"/>
          <w:b/>
          <w:bCs/>
          <w:sz w:val="24"/>
          <w:szCs w:val="24"/>
          <w:rtl/>
        </w:rPr>
        <w:t xml:space="preserve">:" פירוק שיתוף באמצעות שיטת </w:t>
      </w:r>
      <w:r w:rsidRPr="00CA656D">
        <w:rPr>
          <w:rFonts w:ascii="David" w:hAnsi="David" w:cs="David" w:hint="cs"/>
          <w:b/>
          <w:bCs/>
          <w:sz w:val="24"/>
          <w:szCs w:val="24"/>
          <w:rtl/>
        </w:rPr>
        <w:t xml:space="preserve"> </w:t>
      </w:r>
      <w:r w:rsidRPr="00CA656D">
        <w:rPr>
          <w:rFonts w:ascii="David" w:hAnsi="David" w:cs="David" w:hint="cs"/>
          <w:b/>
          <w:bCs/>
          <w:sz w:val="24"/>
          <w:szCs w:val="24"/>
        </w:rPr>
        <w:t>BMBY</w:t>
      </w:r>
      <w:r w:rsidRPr="00CA656D">
        <w:rPr>
          <w:rFonts w:ascii="David" w:hAnsi="David" w:cs="David" w:hint="cs"/>
          <w:b/>
          <w:bCs/>
          <w:sz w:val="24"/>
          <w:szCs w:val="24"/>
          <w:rtl/>
        </w:rPr>
        <w:t xml:space="preserve"> </w:t>
      </w:r>
      <w:r w:rsidRPr="00CA656D">
        <w:rPr>
          <w:rFonts w:ascii="David" w:hAnsi="David" w:cs="David"/>
          <w:b/>
          <w:bCs/>
          <w:sz w:val="24"/>
          <w:szCs w:val="24"/>
          <w:rtl/>
        </w:rPr>
        <w:t xml:space="preserve">אינו אפשרי מאחר שהתובעים אינם עומדים בתנאי הכשירות הנדרשים, על פי תקנון האגודה השיתופית, כדי להירשם כבעלי זכויות בנכס,הואיל ויש </w:t>
      </w:r>
      <w:r w:rsidRPr="00CA656D">
        <w:rPr>
          <w:rFonts w:ascii="David" w:hAnsi="David" w:cs="David"/>
          <w:b/>
          <w:bCs/>
          <w:sz w:val="24"/>
          <w:szCs w:val="24"/>
          <w:rtl/>
        </w:rPr>
        <w:lastRenderedPageBreak/>
        <w:t>בבעלותם נכס אחר. ..".</w:t>
      </w:r>
      <w:r>
        <w:rPr>
          <w:rFonts w:ascii="David" w:hAnsi="David" w:cs="David"/>
          <w:sz w:val="24"/>
          <w:szCs w:val="24"/>
          <w:rtl/>
        </w:rPr>
        <w:t xml:space="preserve"> </w:t>
      </w:r>
      <w:r w:rsidRPr="00CA656D">
        <w:rPr>
          <w:rFonts w:ascii="David" w:hAnsi="David" w:cs="David"/>
          <w:sz w:val="24"/>
          <w:szCs w:val="24"/>
          <w:rtl/>
        </w:rPr>
        <w:t xml:space="preserve">התובעים לא </w:t>
      </w:r>
      <w:r>
        <w:rPr>
          <w:rFonts w:ascii="David" w:hAnsi="David" w:cs="David" w:hint="cs"/>
          <w:sz w:val="24"/>
          <w:szCs w:val="24"/>
          <w:rtl/>
        </w:rPr>
        <w:t xml:space="preserve"> הביאו כל ראיה כ</w:t>
      </w:r>
      <w:r w:rsidR="0026313F">
        <w:rPr>
          <w:rFonts w:ascii="David" w:hAnsi="David" w:cs="David" w:hint="cs"/>
          <w:sz w:val="24"/>
          <w:szCs w:val="24"/>
          <w:rtl/>
        </w:rPr>
        <w:t>י התובעים עומדים בתנאי</w:t>
      </w:r>
      <w:r>
        <w:rPr>
          <w:rFonts w:ascii="David" w:hAnsi="David" w:cs="David" w:hint="cs"/>
          <w:sz w:val="24"/>
          <w:szCs w:val="24"/>
          <w:rtl/>
        </w:rPr>
        <w:t xml:space="preserve"> הכשירות ויכולים להירשם כבעלי הנכס.</w:t>
      </w:r>
      <w:r>
        <w:rPr>
          <w:rFonts w:ascii="David" w:hAnsi="David" w:cs="David"/>
          <w:sz w:val="24"/>
          <w:szCs w:val="24"/>
          <w:rtl/>
        </w:rPr>
        <w:t xml:space="preserve"> </w:t>
      </w:r>
      <w:r>
        <w:rPr>
          <w:rFonts w:ascii="David" w:hAnsi="David" w:cs="David" w:hint="cs"/>
          <w:sz w:val="24"/>
          <w:szCs w:val="24"/>
          <w:rtl/>
        </w:rPr>
        <w:t xml:space="preserve">אכן </w:t>
      </w:r>
      <w:r w:rsidRPr="00CA656D">
        <w:rPr>
          <w:rFonts w:ascii="David" w:hAnsi="David" w:cs="David"/>
          <w:sz w:val="24"/>
          <w:szCs w:val="24"/>
          <w:rtl/>
        </w:rPr>
        <w:t xml:space="preserve"> ב"כ התובעים</w:t>
      </w:r>
      <w:r w:rsidR="00893D05">
        <w:rPr>
          <w:rFonts w:ascii="David" w:hAnsi="David" w:cs="David" w:hint="cs"/>
          <w:sz w:val="24"/>
          <w:szCs w:val="24"/>
          <w:rtl/>
        </w:rPr>
        <w:t xml:space="preserve">, עו"ד עותמאן </w:t>
      </w:r>
      <w:r>
        <w:rPr>
          <w:rFonts w:ascii="David" w:hAnsi="David" w:cs="David" w:hint="cs"/>
          <w:sz w:val="24"/>
          <w:szCs w:val="24"/>
          <w:rtl/>
        </w:rPr>
        <w:t xml:space="preserve"> מסר</w:t>
      </w:r>
      <w:r w:rsidRPr="00CA656D">
        <w:rPr>
          <w:rFonts w:ascii="David" w:hAnsi="David" w:cs="David"/>
          <w:sz w:val="24"/>
          <w:szCs w:val="24"/>
          <w:rtl/>
        </w:rPr>
        <w:t xml:space="preserve"> בדיון</w:t>
      </w:r>
      <w:r>
        <w:rPr>
          <w:rFonts w:ascii="David" w:hAnsi="David" w:cs="David" w:hint="cs"/>
          <w:sz w:val="24"/>
          <w:szCs w:val="24"/>
          <w:rtl/>
        </w:rPr>
        <w:t xml:space="preserve"> מיום </w:t>
      </w:r>
      <w:r>
        <w:rPr>
          <w:rFonts w:ascii="David" w:hAnsi="David" w:cs="David"/>
          <w:sz w:val="24"/>
          <w:szCs w:val="24"/>
          <w:rtl/>
        </w:rPr>
        <w:t xml:space="preserve"> 12/11/18 </w:t>
      </w:r>
      <w:r>
        <w:rPr>
          <w:rFonts w:ascii="David" w:hAnsi="David" w:cs="David" w:hint="cs"/>
          <w:sz w:val="24"/>
          <w:szCs w:val="24"/>
          <w:rtl/>
        </w:rPr>
        <w:t xml:space="preserve"> בפני ביהמ"ש </w:t>
      </w:r>
      <w:r w:rsidRPr="00CA656D">
        <w:rPr>
          <w:rFonts w:ascii="David" w:hAnsi="David" w:cs="David"/>
          <w:sz w:val="24"/>
          <w:szCs w:val="24"/>
          <w:rtl/>
        </w:rPr>
        <w:t xml:space="preserve"> (עמ2ש1): </w:t>
      </w:r>
      <w:r w:rsidRPr="00CA656D">
        <w:rPr>
          <w:rFonts w:ascii="David" w:hAnsi="David" w:cs="David"/>
          <w:b/>
          <w:bCs/>
          <w:sz w:val="24"/>
          <w:szCs w:val="24"/>
          <w:rtl/>
        </w:rPr>
        <w:t>" אינני רואה כל מניעה לרשום את התובעת 2, אין לה בית והיא עומדת בתנאי הסף</w:t>
      </w:r>
      <w:r w:rsidRPr="00CA656D">
        <w:rPr>
          <w:rFonts w:ascii="David" w:hAnsi="David" w:cs="David"/>
          <w:sz w:val="24"/>
          <w:szCs w:val="24"/>
          <w:rtl/>
        </w:rPr>
        <w:t xml:space="preserve">" , </w:t>
      </w:r>
      <w:r>
        <w:rPr>
          <w:rFonts w:ascii="David" w:hAnsi="David" w:cs="David" w:hint="cs"/>
          <w:sz w:val="24"/>
          <w:szCs w:val="24"/>
          <w:rtl/>
        </w:rPr>
        <w:t>א</w:t>
      </w:r>
      <w:r w:rsidR="0026313F">
        <w:rPr>
          <w:rFonts w:ascii="David" w:hAnsi="David" w:cs="David" w:hint="cs"/>
          <w:sz w:val="24"/>
          <w:szCs w:val="24"/>
          <w:rtl/>
        </w:rPr>
        <w:t xml:space="preserve">ך  מלבד העלאת הטענה לא הובאה כל ראיה </w:t>
      </w:r>
      <w:r w:rsidR="0026313F" w:rsidRPr="0026313F">
        <w:rPr>
          <w:rtl/>
        </w:rPr>
        <w:t xml:space="preserve"> </w:t>
      </w:r>
      <w:r w:rsidR="0026313F" w:rsidRPr="0026313F">
        <w:rPr>
          <w:rFonts w:ascii="David" w:hAnsi="David" w:cs="David"/>
          <w:sz w:val="24"/>
          <w:szCs w:val="24"/>
          <w:rtl/>
        </w:rPr>
        <w:t>להוכחת מצבת נכסי התובעת</w:t>
      </w:r>
      <w:r w:rsidR="0026313F">
        <w:rPr>
          <w:rFonts w:ascii="David" w:hAnsi="David" w:cs="David" w:hint="cs"/>
          <w:sz w:val="24"/>
          <w:szCs w:val="24"/>
          <w:rtl/>
        </w:rPr>
        <w:t xml:space="preserve"> מס' 2 </w:t>
      </w:r>
      <w:r w:rsidR="0026313F" w:rsidRPr="0026313F">
        <w:rPr>
          <w:rFonts w:ascii="David" w:hAnsi="David" w:cs="David"/>
          <w:sz w:val="24"/>
          <w:szCs w:val="24"/>
          <w:rtl/>
        </w:rPr>
        <w:t xml:space="preserve"> </w:t>
      </w:r>
      <w:r w:rsidR="0026313F">
        <w:rPr>
          <w:rFonts w:ascii="David" w:hAnsi="David" w:cs="David" w:hint="cs"/>
          <w:sz w:val="24"/>
          <w:szCs w:val="24"/>
          <w:rtl/>
        </w:rPr>
        <w:t>,</w:t>
      </w:r>
      <w:r w:rsidR="0026313F" w:rsidRPr="0026313F">
        <w:rPr>
          <w:rFonts w:ascii="David" w:hAnsi="David" w:cs="David"/>
          <w:sz w:val="24"/>
          <w:szCs w:val="24"/>
          <w:rtl/>
        </w:rPr>
        <w:t>או שהיא יכולה להירשם כבעלת הנכס</w:t>
      </w:r>
      <w:r w:rsidR="0026313F">
        <w:rPr>
          <w:rFonts w:ascii="David" w:hAnsi="David" w:cs="David" w:hint="cs"/>
          <w:sz w:val="24"/>
          <w:szCs w:val="24"/>
          <w:rtl/>
        </w:rPr>
        <w:t>; כך שלא הוכח שישנה</w:t>
      </w:r>
      <w:r w:rsidR="0026313F">
        <w:rPr>
          <w:rFonts w:ascii="David" w:hAnsi="David" w:cs="David"/>
          <w:sz w:val="24"/>
          <w:szCs w:val="24"/>
          <w:rtl/>
        </w:rPr>
        <w:t xml:space="preserve"> "ראיה משמעותית</w:t>
      </w:r>
      <w:r w:rsidR="0026313F">
        <w:rPr>
          <w:rFonts w:ascii="David" w:hAnsi="David" w:cs="David" w:hint="cs"/>
          <w:sz w:val="24"/>
          <w:szCs w:val="24"/>
          <w:rtl/>
        </w:rPr>
        <w:t xml:space="preserve">" </w:t>
      </w:r>
      <w:r w:rsidRPr="00CA656D">
        <w:rPr>
          <w:rFonts w:ascii="David" w:hAnsi="David" w:cs="David"/>
          <w:sz w:val="24"/>
          <w:szCs w:val="24"/>
          <w:rtl/>
        </w:rPr>
        <w:t>ממנה התעלמה הבוררת , ככל שהתובעים מתכוונים לכך.</w:t>
      </w:r>
    </w:p>
    <w:p w:rsidR="00CA656D" w:rsidRPr="00CA656D" w:rsidRDefault="00CA656D" w:rsidP="002931B7">
      <w:pPr>
        <w:pStyle w:val="af"/>
        <w:spacing w:line="360" w:lineRule="auto"/>
        <w:ind w:left="360"/>
        <w:jc w:val="both"/>
        <w:rPr>
          <w:rFonts w:ascii="David" w:hAnsi="David" w:cs="David"/>
          <w:sz w:val="24"/>
          <w:szCs w:val="24"/>
          <w:rtl/>
        </w:rPr>
      </w:pPr>
      <w:r w:rsidRPr="00CA656D">
        <w:rPr>
          <w:rFonts w:ascii="David" w:hAnsi="David" w:cs="David"/>
          <w:sz w:val="24"/>
          <w:szCs w:val="24"/>
          <w:rtl/>
        </w:rPr>
        <w:t xml:space="preserve"> </w:t>
      </w:r>
    </w:p>
    <w:p w:rsidR="00523DAB" w:rsidRPr="00523DAB" w:rsidRDefault="00523DAB" w:rsidP="002931B7">
      <w:pPr>
        <w:pStyle w:val="af"/>
        <w:numPr>
          <w:ilvl w:val="0"/>
          <w:numId w:val="2"/>
        </w:numPr>
        <w:spacing w:line="360" w:lineRule="auto"/>
        <w:jc w:val="both"/>
        <w:rPr>
          <w:rFonts w:ascii="David" w:hAnsi="David" w:cs="David"/>
          <w:b/>
          <w:bCs/>
          <w:sz w:val="24"/>
          <w:szCs w:val="24"/>
        </w:rPr>
      </w:pPr>
      <w:r>
        <w:rPr>
          <w:rFonts w:ascii="David" w:hAnsi="David" w:cs="David" w:hint="cs"/>
          <w:sz w:val="24"/>
          <w:szCs w:val="24"/>
          <w:rtl/>
        </w:rPr>
        <w:t>הבוררת אף  ציינה בסעיף 12 סיפא לפסק הבורר:</w:t>
      </w:r>
      <w:r w:rsidRPr="00523DAB">
        <w:rPr>
          <w:rtl/>
        </w:rPr>
        <w:t xml:space="preserve"> </w:t>
      </w:r>
      <w:r w:rsidRPr="00523DAB">
        <w:rPr>
          <w:rFonts w:ascii="David" w:hAnsi="David" w:cs="David"/>
          <w:sz w:val="24"/>
          <w:szCs w:val="24"/>
          <w:rtl/>
        </w:rPr>
        <w:t xml:space="preserve">" </w:t>
      </w:r>
      <w:r>
        <w:rPr>
          <w:rFonts w:ascii="David" w:hAnsi="David" w:cs="David" w:hint="cs"/>
          <w:b/>
          <w:bCs/>
          <w:sz w:val="24"/>
          <w:szCs w:val="24"/>
          <w:rtl/>
        </w:rPr>
        <w:t>...</w:t>
      </w:r>
      <w:r w:rsidRPr="00523DAB">
        <w:rPr>
          <w:rFonts w:ascii="David" w:hAnsi="David" w:cs="David"/>
          <w:b/>
          <w:bCs/>
          <w:sz w:val="24"/>
          <w:szCs w:val="24"/>
          <w:rtl/>
        </w:rPr>
        <w:t xml:space="preserve"> בדיעבד נתברר שתקנון האגודה השיתופית אינו מאפשר לרשום יותר מבעלים אחד בגין הנכס. כך שהתובעים לא היו יכולים להירשם </w:t>
      </w:r>
      <w:r w:rsidR="00893D05">
        <w:rPr>
          <w:rFonts w:ascii="David" w:hAnsi="David" w:cs="David"/>
          <w:b/>
          <w:bCs/>
          <w:sz w:val="24"/>
          <w:szCs w:val="24"/>
          <w:rtl/>
        </w:rPr>
        <w:t xml:space="preserve">במרשם כבעלי זכויות יחד עם </w:t>
      </w:r>
      <w:r w:rsidR="00893D05">
        <w:rPr>
          <w:rFonts w:ascii="David" w:hAnsi="David" w:cs="David" w:hint="cs"/>
          <w:b/>
          <w:bCs/>
          <w:sz w:val="24"/>
          <w:szCs w:val="24"/>
          <w:rtl/>
        </w:rPr>
        <w:t xml:space="preserve">הנתבע </w:t>
      </w:r>
      <w:r>
        <w:rPr>
          <w:rFonts w:ascii="David" w:hAnsi="David" w:cs="David"/>
          <w:b/>
          <w:bCs/>
          <w:sz w:val="24"/>
          <w:szCs w:val="24"/>
          <w:rtl/>
        </w:rPr>
        <w:t xml:space="preserve">". </w:t>
      </w:r>
    </w:p>
    <w:p w:rsidR="00CA656D" w:rsidRPr="00111528" w:rsidRDefault="00111528" w:rsidP="002931B7">
      <w:pPr>
        <w:pStyle w:val="af"/>
        <w:spacing w:line="360" w:lineRule="auto"/>
        <w:ind w:left="360"/>
        <w:jc w:val="both"/>
        <w:rPr>
          <w:rFonts w:ascii="David" w:hAnsi="David" w:cs="David"/>
          <w:sz w:val="24"/>
          <w:szCs w:val="24"/>
          <w:rtl/>
        </w:rPr>
      </w:pPr>
      <w:r>
        <w:rPr>
          <w:rFonts w:ascii="David" w:hAnsi="David" w:cs="David" w:hint="cs"/>
          <w:sz w:val="24"/>
          <w:szCs w:val="24"/>
          <w:rtl/>
        </w:rPr>
        <w:t xml:space="preserve">התובעים </w:t>
      </w:r>
      <w:r>
        <w:rPr>
          <w:rFonts w:ascii="David" w:hAnsi="David" w:cs="David"/>
          <w:sz w:val="24"/>
          <w:szCs w:val="24"/>
          <w:rtl/>
        </w:rPr>
        <w:t xml:space="preserve"> עצמם</w:t>
      </w:r>
      <w:r>
        <w:rPr>
          <w:rFonts w:ascii="David" w:hAnsi="David" w:cs="David" w:hint="cs"/>
          <w:sz w:val="24"/>
          <w:szCs w:val="24"/>
          <w:rtl/>
        </w:rPr>
        <w:t xml:space="preserve"> טענו בסעיף 19 לסיכומים מטעמם שהוגשו בפני הבוררת (תוך הפנייה לפרוטוקול הדיון מיום 12/11/2018) </w:t>
      </w:r>
      <w:r w:rsidR="00CA656D" w:rsidRPr="00111528">
        <w:rPr>
          <w:rFonts w:ascii="David" w:hAnsi="David" w:cs="David"/>
          <w:sz w:val="24"/>
          <w:szCs w:val="24"/>
          <w:rtl/>
        </w:rPr>
        <w:t xml:space="preserve"> </w:t>
      </w:r>
      <w:r>
        <w:rPr>
          <w:rFonts w:ascii="David" w:hAnsi="David" w:cs="David" w:hint="cs"/>
          <w:sz w:val="24"/>
          <w:szCs w:val="24"/>
          <w:rtl/>
        </w:rPr>
        <w:t>:"</w:t>
      </w:r>
      <w:r w:rsidR="00CA656D" w:rsidRPr="00111528">
        <w:rPr>
          <w:rFonts w:ascii="David" w:hAnsi="David" w:cs="David"/>
          <w:b/>
          <w:bCs/>
          <w:sz w:val="24"/>
          <w:szCs w:val="24"/>
          <w:rtl/>
        </w:rPr>
        <w:t>התברר כי לא ניתן לרשום את זכויותיהם של התובעים ב</w:t>
      </w:r>
      <w:r w:rsidRPr="00111528">
        <w:rPr>
          <w:rFonts w:ascii="David" w:hAnsi="David" w:cs="David"/>
          <w:b/>
          <w:bCs/>
          <w:sz w:val="24"/>
          <w:szCs w:val="24"/>
          <w:rtl/>
        </w:rPr>
        <w:t>נכס, עקב כך שלפי האגודה השית</w:t>
      </w:r>
      <w:r w:rsidRPr="00111528">
        <w:rPr>
          <w:rFonts w:ascii="David" w:hAnsi="David" w:cs="David" w:hint="cs"/>
          <w:b/>
          <w:bCs/>
          <w:sz w:val="24"/>
          <w:szCs w:val="24"/>
          <w:rtl/>
        </w:rPr>
        <w:t>ופית</w:t>
      </w:r>
      <w:r w:rsidR="00CA656D" w:rsidRPr="00111528">
        <w:rPr>
          <w:rFonts w:ascii="David" w:hAnsi="David" w:cs="David"/>
          <w:b/>
          <w:bCs/>
          <w:sz w:val="24"/>
          <w:szCs w:val="24"/>
          <w:rtl/>
        </w:rPr>
        <w:t xml:space="preserve"> שלא ניתן לרשום זכוי</w:t>
      </w:r>
      <w:r w:rsidRPr="00111528">
        <w:rPr>
          <w:rFonts w:ascii="David" w:hAnsi="David" w:cs="David"/>
          <w:b/>
          <w:bCs/>
          <w:sz w:val="24"/>
          <w:szCs w:val="24"/>
          <w:rtl/>
        </w:rPr>
        <w:t>ות בנכס על יותר מבעלים אחד.</w:t>
      </w:r>
      <w:r w:rsidR="00523DAB">
        <w:rPr>
          <w:rFonts w:ascii="David" w:hAnsi="David" w:cs="David" w:hint="cs"/>
          <w:b/>
          <w:bCs/>
          <w:sz w:val="24"/>
          <w:szCs w:val="24"/>
          <w:rtl/>
        </w:rPr>
        <w:t xml:space="preserve"> </w:t>
      </w:r>
      <w:r w:rsidR="0035579D">
        <w:rPr>
          <w:rFonts w:ascii="David" w:hAnsi="David" w:cs="David" w:hint="cs"/>
          <w:b/>
          <w:bCs/>
          <w:sz w:val="24"/>
          <w:szCs w:val="24"/>
          <w:rtl/>
        </w:rPr>
        <w:t>לפי כך נקבע שפירוק השיתוף יהיה פירוק שיתוף בזכויות.</w:t>
      </w:r>
      <w:r w:rsidRPr="00111528">
        <w:rPr>
          <w:rFonts w:ascii="David" w:hAnsi="David" w:cs="David"/>
          <w:b/>
          <w:bCs/>
          <w:sz w:val="24"/>
          <w:szCs w:val="24"/>
          <w:rtl/>
        </w:rPr>
        <w:t>."</w:t>
      </w:r>
    </w:p>
    <w:p w:rsidR="00523DAB" w:rsidRDefault="00111528" w:rsidP="002931B7">
      <w:pPr>
        <w:pStyle w:val="af"/>
        <w:spacing w:line="360" w:lineRule="auto"/>
        <w:ind w:left="360"/>
        <w:jc w:val="both"/>
        <w:rPr>
          <w:rFonts w:ascii="David" w:hAnsi="David" w:cs="David"/>
          <w:sz w:val="24"/>
          <w:szCs w:val="24"/>
          <w:rtl/>
        </w:rPr>
      </w:pPr>
      <w:r>
        <w:rPr>
          <w:rFonts w:ascii="David" w:hAnsi="David" w:cs="David" w:hint="cs"/>
          <w:sz w:val="24"/>
          <w:szCs w:val="24"/>
          <w:rtl/>
        </w:rPr>
        <w:t>והם אף חזרו על אותה טענה בסעיף 15 לבקשה לביטול פסק הבורר.</w:t>
      </w:r>
    </w:p>
    <w:p w:rsidR="00CA656D" w:rsidRPr="00523DAB" w:rsidRDefault="00111528" w:rsidP="002931B7">
      <w:pPr>
        <w:pStyle w:val="af"/>
        <w:spacing w:line="360" w:lineRule="auto"/>
        <w:ind w:left="360"/>
        <w:jc w:val="both"/>
        <w:rPr>
          <w:rFonts w:ascii="David" w:hAnsi="David" w:cs="David"/>
          <w:sz w:val="24"/>
          <w:szCs w:val="24"/>
          <w:rtl/>
        </w:rPr>
      </w:pPr>
      <w:r w:rsidRPr="00523DAB">
        <w:rPr>
          <w:rFonts w:ascii="David" w:hAnsi="David" w:cs="David"/>
          <w:sz w:val="24"/>
          <w:szCs w:val="24"/>
          <w:rtl/>
        </w:rPr>
        <w:t xml:space="preserve"> </w:t>
      </w:r>
    </w:p>
    <w:p w:rsidR="00523DAB" w:rsidRPr="00523DAB" w:rsidRDefault="00523DAB" w:rsidP="002931B7">
      <w:pPr>
        <w:pStyle w:val="af"/>
        <w:numPr>
          <w:ilvl w:val="0"/>
          <w:numId w:val="2"/>
        </w:numPr>
        <w:spacing w:line="360" w:lineRule="auto"/>
        <w:jc w:val="both"/>
        <w:rPr>
          <w:rFonts w:ascii="David" w:hAnsi="David" w:cs="David"/>
          <w:sz w:val="24"/>
          <w:szCs w:val="24"/>
          <w:rtl/>
        </w:rPr>
      </w:pPr>
      <w:r w:rsidRPr="00523DAB">
        <w:rPr>
          <w:rFonts w:ascii="David" w:hAnsi="David" w:cs="David"/>
          <w:sz w:val="24"/>
          <w:szCs w:val="24"/>
          <w:rtl/>
        </w:rPr>
        <w:t>אוסיף כי, הבוררת  נימקה את ההכרעה של פירוק שיתוף על דרך פיצוי התובעים בגין זכויותיהם, גם לאור העובדה כי הנתבעים מתגוררים עם ילדיהם משך שנים ארוכות.</w:t>
      </w:r>
    </w:p>
    <w:p w:rsidR="00523DAB" w:rsidRDefault="00523DAB" w:rsidP="002931B7">
      <w:pPr>
        <w:pStyle w:val="af"/>
        <w:spacing w:line="360" w:lineRule="auto"/>
        <w:ind w:left="360"/>
        <w:jc w:val="both"/>
        <w:rPr>
          <w:rFonts w:ascii="David" w:hAnsi="David" w:cs="David"/>
          <w:sz w:val="24"/>
          <w:szCs w:val="24"/>
        </w:rPr>
      </w:pPr>
    </w:p>
    <w:p w:rsidR="00951786" w:rsidRPr="00523DAB" w:rsidRDefault="00CA656D" w:rsidP="002931B7">
      <w:pPr>
        <w:pStyle w:val="af"/>
        <w:numPr>
          <w:ilvl w:val="0"/>
          <w:numId w:val="2"/>
        </w:numPr>
        <w:spacing w:line="360" w:lineRule="auto"/>
        <w:jc w:val="both"/>
        <w:rPr>
          <w:rFonts w:ascii="David" w:hAnsi="David" w:cs="David"/>
          <w:sz w:val="24"/>
          <w:szCs w:val="24"/>
        </w:rPr>
      </w:pPr>
      <w:r w:rsidRPr="00CA656D">
        <w:rPr>
          <w:rFonts w:ascii="David" w:hAnsi="David" w:cs="David"/>
          <w:sz w:val="24"/>
          <w:szCs w:val="24"/>
          <w:rtl/>
        </w:rPr>
        <w:t>במצב זה, אני קובעת כי התובעים לא</w:t>
      </w:r>
      <w:r w:rsidR="0035579D">
        <w:rPr>
          <w:rFonts w:ascii="David" w:hAnsi="David" w:cs="David"/>
          <w:sz w:val="24"/>
          <w:szCs w:val="24"/>
          <w:rtl/>
        </w:rPr>
        <w:t xml:space="preserve"> הוכיחו כי נפלה ב</w:t>
      </w:r>
      <w:r w:rsidR="00893D05">
        <w:rPr>
          <w:rFonts w:ascii="David" w:hAnsi="David" w:cs="David" w:hint="cs"/>
          <w:sz w:val="24"/>
          <w:szCs w:val="24"/>
          <w:rtl/>
        </w:rPr>
        <w:t>קביעת הבוררת</w:t>
      </w:r>
      <w:r w:rsidR="00523DAB">
        <w:rPr>
          <w:rFonts w:ascii="David" w:hAnsi="David" w:cs="David"/>
          <w:sz w:val="24"/>
          <w:szCs w:val="24"/>
          <w:rtl/>
        </w:rPr>
        <w:t>, סתירה או התעלמות מראיה</w:t>
      </w:r>
      <w:r w:rsidR="00523DAB">
        <w:rPr>
          <w:rFonts w:ascii="David" w:hAnsi="David" w:cs="David" w:hint="cs"/>
          <w:sz w:val="24"/>
          <w:szCs w:val="24"/>
          <w:rtl/>
        </w:rPr>
        <w:t>.</w:t>
      </w:r>
    </w:p>
    <w:p w:rsidR="00EF7D5F" w:rsidRPr="00523DAB" w:rsidRDefault="00EF7D5F" w:rsidP="002931B7">
      <w:pPr>
        <w:spacing w:line="360" w:lineRule="auto"/>
        <w:jc w:val="both"/>
        <w:rPr>
          <w:rFonts w:ascii="David" w:hAnsi="David"/>
          <w:u w:val="single"/>
          <w:rtl/>
        </w:rPr>
      </w:pPr>
      <w:r w:rsidRPr="00523DAB">
        <w:rPr>
          <w:rFonts w:ascii="David" w:hAnsi="David"/>
          <w:u w:val="single"/>
          <w:rtl/>
        </w:rPr>
        <w:t>סתירה בעני</w:t>
      </w:r>
      <w:r w:rsidRPr="00523DAB">
        <w:rPr>
          <w:rFonts w:ascii="David" w:hAnsi="David" w:hint="cs"/>
          <w:u w:val="single"/>
          <w:rtl/>
        </w:rPr>
        <w:t>י</w:t>
      </w:r>
      <w:r w:rsidR="00523DAB">
        <w:rPr>
          <w:rFonts w:ascii="David" w:hAnsi="David"/>
          <w:u w:val="single"/>
          <w:rtl/>
        </w:rPr>
        <w:t>ן דמי שימוש</w:t>
      </w:r>
      <w:r w:rsidRPr="00523DAB">
        <w:rPr>
          <w:rFonts w:ascii="David" w:hAnsi="David"/>
          <w:u w:val="single"/>
          <w:rtl/>
        </w:rPr>
        <w:t xml:space="preserve"> </w:t>
      </w:r>
    </w:p>
    <w:p w:rsidR="00EF7D5F" w:rsidRPr="00EF7D5F" w:rsidRDefault="00EF7D5F" w:rsidP="002931B7">
      <w:pPr>
        <w:pStyle w:val="af"/>
        <w:numPr>
          <w:ilvl w:val="0"/>
          <w:numId w:val="2"/>
        </w:numPr>
        <w:spacing w:line="360" w:lineRule="auto"/>
        <w:jc w:val="both"/>
        <w:rPr>
          <w:rFonts w:ascii="David" w:hAnsi="David" w:cs="David"/>
          <w:sz w:val="24"/>
          <w:szCs w:val="24"/>
        </w:rPr>
      </w:pPr>
      <w:r w:rsidRPr="00EF7D5F">
        <w:rPr>
          <w:rFonts w:ascii="David" w:hAnsi="David" w:cs="David"/>
          <w:sz w:val="24"/>
          <w:szCs w:val="24"/>
          <w:rtl/>
        </w:rPr>
        <w:t>לשיטת התובעים, הבוררת קובעת מחד כי אינה יושבת כערכאת ערעור על פסק הדין של ביהמ"ש  המחוזי, אך מאידך מרוקנת מכל תוכן את הכרעת ביהמ"ש המחוזי ולא מאפשרת התחשבנות ביחס לשימוש בנכס .</w:t>
      </w:r>
    </w:p>
    <w:p w:rsidR="005D4E8C" w:rsidRPr="00F42554" w:rsidRDefault="000033F8" w:rsidP="002931B7">
      <w:pPr>
        <w:pStyle w:val="af"/>
        <w:spacing w:line="360" w:lineRule="auto"/>
        <w:ind w:left="360"/>
        <w:jc w:val="both"/>
        <w:rPr>
          <w:rFonts w:ascii="David" w:hAnsi="David" w:cs="David"/>
          <w:b/>
          <w:bCs/>
          <w:sz w:val="24"/>
          <w:szCs w:val="24"/>
          <w:u w:val="single"/>
        </w:rPr>
      </w:pPr>
      <w:r>
        <w:rPr>
          <w:rFonts w:ascii="David" w:hAnsi="David" w:cs="David" w:hint="cs"/>
          <w:sz w:val="24"/>
          <w:szCs w:val="24"/>
          <w:rtl/>
        </w:rPr>
        <w:t xml:space="preserve">איני מקבלת טענה זו. </w:t>
      </w:r>
      <w:r w:rsidR="005D4E8C" w:rsidRPr="00F42554">
        <w:rPr>
          <w:rFonts w:ascii="David" w:hAnsi="David" w:cs="David" w:hint="cs"/>
          <w:sz w:val="24"/>
          <w:szCs w:val="24"/>
          <w:rtl/>
        </w:rPr>
        <w:t>לענ</w:t>
      </w:r>
      <w:r w:rsidR="00951786">
        <w:rPr>
          <w:rFonts w:ascii="David" w:hAnsi="David" w:cs="David" w:hint="cs"/>
          <w:sz w:val="24"/>
          <w:szCs w:val="24"/>
          <w:rtl/>
        </w:rPr>
        <w:t>י</w:t>
      </w:r>
      <w:r w:rsidR="005D4E8C" w:rsidRPr="00F42554">
        <w:rPr>
          <w:rFonts w:ascii="David" w:hAnsi="David" w:cs="David" w:hint="cs"/>
          <w:sz w:val="24"/>
          <w:szCs w:val="24"/>
          <w:rtl/>
        </w:rPr>
        <w:t>ין זה התייחסתי לעיל. ביהמ</w:t>
      </w:r>
      <w:r w:rsidR="00951786">
        <w:rPr>
          <w:rFonts w:ascii="David" w:hAnsi="David" w:cs="David" w:hint="cs"/>
          <w:sz w:val="24"/>
          <w:szCs w:val="24"/>
          <w:rtl/>
        </w:rPr>
        <w:t>"</w:t>
      </w:r>
      <w:r w:rsidR="005D4E8C" w:rsidRPr="00F42554">
        <w:rPr>
          <w:rFonts w:ascii="David" w:hAnsi="David" w:cs="David" w:hint="cs"/>
          <w:sz w:val="24"/>
          <w:szCs w:val="24"/>
          <w:rtl/>
        </w:rPr>
        <w:t xml:space="preserve">ש מחוזי בפסק דינו (סעיף24) שמר </w:t>
      </w:r>
      <w:r w:rsidR="00951786">
        <w:rPr>
          <w:rFonts w:ascii="David" w:hAnsi="David" w:cs="David" w:hint="cs"/>
          <w:sz w:val="24"/>
          <w:szCs w:val="24"/>
          <w:rtl/>
        </w:rPr>
        <w:t>על זכויות הצדדים להגיש תביעות  לגבי דמי שימוש או השבחה והשקעה ב</w:t>
      </w:r>
      <w:r w:rsidR="005D4E8C" w:rsidRPr="00F42554">
        <w:rPr>
          <w:rFonts w:ascii="David" w:hAnsi="David" w:cs="David" w:hint="cs"/>
          <w:sz w:val="24"/>
          <w:szCs w:val="24"/>
          <w:rtl/>
        </w:rPr>
        <w:t xml:space="preserve">דירה </w:t>
      </w:r>
      <w:r w:rsidR="00951786">
        <w:rPr>
          <w:rFonts w:ascii="David" w:hAnsi="David" w:cs="David" w:hint="cs"/>
          <w:sz w:val="24"/>
          <w:szCs w:val="24"/>
          <w:rtl/>
        </w:rPr>
        <w:t>.</w:t>
      </w:r>
      <w:r w:rsidR="005D4E8C" w:rsidRPr="00F42554">
        <w:rPr>
          <w:rFonts w:ascii="David" w:hAnsi="David" w:cs="David" w:hint="cs"/>
          <w:sz w:val="24"/>
          <w:szCs w:val="24"/>
          <w:rtl/>
        </w:rPr>
        <w:t xml:space="preserve"> כב' הבוררת בתורה קבעה שהתובעים אינם זכאים לדמי שימוש ראויים בגין שימוש הנתבעים בנכס. אין כל סתירה בין קביעות אלה, </w:t>
      </w:r>
      <w:r w:rsidR="00951786">
        <w:rPr>
          <w:rFonts w:ascii="David" w:hAnsi="David" w:cs="David" w:hint="cs"/>
          <w:sz w:val="24"/>
          <w:szCs w:val="24"/>
          <w:rtl/>
        </w:rPr>
        <w:t>שכן בית המשפט המחוזי לא קבע כי לתובעים זכות לדמי שימוש.</w:t>
      </w:r>
    </w:p>
    <w:p w:rsidR="005D4E8C" w:rsidRPr="002C7C26" w:rsidRDefault="005D4E8C" w:rsidP="002931B7">
      <w:pPr>
        <w:pStyle w:val="af"/>
        <w:spacing w:line="360" w:lineRule="auto"/>
        <w:jc w:val="both"/>
        <w:rPr>
          <w:rFonts w:ascii="David" w:hAnsi="David" w:cs="David"/>
          <w:sz w:val="24"/>
          <w:szCs w:val="24"/>
          <w:rtl/>
        </w:rPr>
      </w:pPr>
    </w:p>
    <w:p w:rsidR="005D4E8C" w:rsidRPr="000033F8" w:rsidRDefault="005D4E8C" w:rsidP="002931B7">
      <w:pPr>
        <w:spacing w:line="360" w:lineRule="auto"/>
        <w:jc w:val="both"/>
        <w:rPr>
          <w:rFonts w:ascii="David" w:hAnsi="David"/>
          <w:u w:val="single"/>
        </w:rPr>
      </w:pPr>
      <w:r w:rsidRPr="000033F8">
        <w:rPr>
          <w:rFonts w:ascii="David" w:hAnsi="David" w:hint="cs"/>
          <w:u w:val="single"/>
          <w:rtl/>
        </w:rPr>
        <w:t>סתירה בענין תביעת ביטול רישום במרמה</w:t>
      </w:r>
    </w:p>
    <w:p w:rsidR="005D4E8C" w:rsidRPr="00F42554" w:rsidRDefault="005D4E8C" w:rsidP="002931B7">
      <w:pPr>
        <w:pStyle w:val="af"/>
        <w:numPr>
          <w:ilvl w:val="0"/>
          <w:numId w:val="2"/>
        </w:numPr>
        <w:spacing w:line="360" w:lineRule="auto"/>
        <w:jc w:val="both"/>
        <w:rPr>
          <w:rFonts w:ascii="David" w:hAnsi="David" w:cs="David"/>
          <w:b/>
          <w:bCs/>
          <w:sz w:val="24"/>
          <w:szCs w:val="24"/>
          <w:u w:val="single"/>
        </w:rPr>
      </w:pPr>
      <w:r w:rsidRPr="00983A5E">
        <w:rPr>
          <w:rFonts w:ascii="David" w:hAnsi="David" w:cs="David" w:hint="cs"/>
          <w:sz w:val="24"/>
          <w:szCs w:val="24"/>
          <w:rtl/>
        </w:rPr>
        <w:t>לשיטת התובעים, הבוררת קבעה מחד שאיננה מכריעה בתביעה לרישום במרמה (</w:t>
      </w:r>
      <w:r>
        <w:rPr>
          <w:rFonts w:ascii="David" w:hAnsi="David" w:cs="David" w:hint="cs"/>
          <w:sz w:val="24"/>
          <w:szCs w:val="24"/>
          <w:rtl/>
        </w:rPr>
        <w:t>"..</w:t>
      </w:r>
      <w:r w:rsidRPr="00983A5E">
        <w:rPr>
          <w:rFonts w:ascii="David" w:hAnsi="David" w:cs="David" w:hint="cs"/>
          <w:sz w:val="24"/>
          <w:szCs w:val="24"/>
          <w:rtl/>
        </w:rPr>
        <w:t>מחלוקת זו אינה דרושה להכרעה כאן</w:t>
      </w:r>
      <w:r>
        <w:rPr>
          <w:rFonts w:ascii="David" w:hAnsi="David" w:cs="David" w:hint="cs"/>
          <w:sz w:val="24"/>
          <w:szCs w:val="24"/>
          <w:rtl/>
        </w:rPr>
        <w:t>"</w:t>
      </w:r>
      <w:r w:rsidRPr="00983A5E">
        <w:rPr>
          <w:rFonts w:ascii="David" w:hAnsi="David" w:cs="David" w:hint="cs"/>
          <w:sz w:val="24"/>
          <w:szCs w:val="24"/>
          <w:rtl/>
        </w:rPr>
        <w:t>) אך מאידך קבעה כי "..בר</w:t>
      </w:r>
      <w:r>
        <w:rPr>
          <w:rFonts w:ascii="David" w:hAnsi="David" w:cs="David" w:hint="cs"/>
          <w:sz w:val="24"/>
          <w:szCs w:val="24"/>
          <w:rtl/>
        </w:rPr>
        <w:t xml:space="preserve">ור שהרישום לא נעשה במרמה"., כן הבוררת מתעלמת מראיות אשר הוצגו בפניה כי </w:t>
      </w:r>
      <w:r w:rsidRPr="00983A5E">
        <w:rPr>
          <w:rFonts w:ascii="David" w:hAnsi="David" w:cs="David" w:hint="cs"/>
          <w:sz w:val="24"/>
          <w:szCs w:val="24"/>
          <w:rtl/>
        </w:rPr>
        <w:t xml:space="preserve">הרישום הושג במרמה </w:t>
      </w:r>
      <w:r w:rsidR="000033F8">
        <w:rPr>
          <w:rFonts w:ascii="David" w:hAnsi="David" w:cs="David" w:hint="cs"/>
          <w:sz w:val="24"/>
          <w:szCs w:val="24"/>
          <w:rtl/>
        </w:rPr>
        <w:t>וללא הסכמת הנתבעים.</w:t>
      </w:r>
      <w:r w:rsidRPr="00983A5E">
        <w:rPr>
          <w:rFonts w:ascii="David" w:hAnsi="David" w:cs="David" w:hint="cs"/>
          <w:sz w:val="24"/>
          <w:szCs w:val="24"/>
          <w:rtl/>
        </w:rPr>
        <w:t xml:space="preserve">  </w:t>
      </w:r>
      <w:r w:rsidRPr="00F42554">
        <w:rPr>
          <w:rFonts w:ascii="David" w:hAnsi="David" w:cs="David" w:hint="cs"/>
          <w:sz w:val="24"/>
          <w:szCs w:val="24"/>
          <w:rtl/>
        </w:rPr>
        <w:lastRenderedPageBreak/>
        <w:t>גם לעני</w:t>
      </w:r>
      <w:r w:rsidR="000033F8">
        <w:rPr>
          <w:rFonts w:ascii="David" w:hAnsi="David" w:cs="David" w:hint="cs"/>
          <w:sz w:val="24"/>
          <w:szCs w:val="24"/>
          <w:rtl/>
        </w:rPr>
        <w:t>י</w:t>
      </w:r>
      <w:r w:rsidRPr="00F42554">
        <w:rPr>
          <w:rFonts w:ascii="David" w:hAnsi="David" w:cs="David" w:hint="cs"/>
          <w:sz w:val="24"/>
          <w:szCs w:val="24"/>
          <w:rtl/>
        </w:rPr>
        <w:t>ן זה התייחסתי בהרחבה</w:t>
      </w:r>
      <w:r w:rsidR="000033F8">
        <w:rPr>
          <w:rFonts w:ascii="David" w:hAnsi="David" w:cs="David" w:hint="cs"/>
          <w:sz w:val="24"/>
          <w:szCs w:val="24"/>
          <w:rtl/>
        </w:rPr>
        <w:t xml:space="preserve"> לעיל </w:t>
      </w:r>
      <w:r w:rsidRPr="00F42554">
        <w:rPr>
          <w:rFonts w:ascii="David" w:hAnsi="David" w:cs="David" w:hint="cs"/>
          <w:sz w:val="24"/>
          <w:szCs w:val="24"/>
          <w:rtl/>
        </w:rPr>
        <w:t>. כאמור, הבוררת לא הכריעה בעני</w:t>
      </w:r>
      <w:r w:rsidR="000033F8">
        <w:rPr>
          <w:rFonts w:ascii="David" w:hAnsi="David" w:cs="David" w:hint="cs"/>
          <w:sz w:val="24"/>
          <w:szCs w:val="24"/>
          <w:rtl/>
        </w:rPr>
        <w:t>י</w:t>
      </w:r>
      <w:r w:rsidRPr="00F42554">
        <w:rPr>
          <w:rFonts w:ascii="David" w:hAnsi="David" w:cs="David" w:hint="cs"/>
          <w:sz w:val="24"/>
          <w:szCs w:val="24"/>
          <w:rtl/>
        </w:rPr>
        <w:t>ן תביעת ביטול רישום במרמה, אלא הביעה דעתה בענ</w:t>
      </w:r>
      <w:r w:rsidR="000033F8">
        <w:rPr>
          <w:rFonts w:ascii="David" w:hAnsi="David" w:cs="David" w:hint="cs"/>
          <w:sz w:val="24"/>
          <w:szCs w:val="24"/>
          <w:rtl/>
        </w:rPr>
        <w:t>י</w:t>
      </w:r>
      <w:r w:rsidRPr="00F42554">
        <w:rPr>
          <w:rFonts w:ascii="David" w:hAnsi="David" w:cs="David" w:hint="cs"/>
          <w:sz w:val="24"/>
          <w:szCs w:val="24"/>
          <w:rtl/>
        </w:rPr>
        <w:t>ין זה</w:t>
      </w:r>
      <w:r w:rsidR="000033F8">
        <w:rPr>
          <w:rFonts w:ascii="David" w:hAnsi="David" w:cs="David" w:hint="cs"/>
          <w:sz w:val="24"/>
          <w:szCs w:val="24"/>
          <w:rtl/>
        </w:rPr>
        <w:t>(אתייחס לכך בהמשך)</w:t>
      </w:r>
      <w:r w:rsidRPr="00F42554">
        <w:rPr>
          <w:rFonts w:ascii="David" w:hAnsi="David" w:cs="David" w:hint="cs"/>
          <w:sz w:val="24"/>
          <w:szCs w:val="24"/>
          <w:rtl/>
        </w:rPr>
        <w:t xml:space="preserve">. במצב זה, נופלת מאליה הטענה לסתירה והתעלמות מראיות. </w:t>
      </w:r>
    </w:p>
    <w:p w:rsidR="005D4E8C" w:rsidRPr="000033F8" w:rsidRDefault="005D4E8C" w:rsidP="002931B7">
      <w:pPr>
        <w:spacing w:line="360" w:lineRule="auto"/>
        <w:jc w:val="both"/>
        <w:rPr>
          <w:rFonts w:ascii="David" w:hAnsi="David"/>
          <w:u w:val="single"/>
        </w:rPr>
      </w:pPr>
      <w:r w:rsidRPr="000033F8">
        <w:rPr>
          <w:rFonts w:ascii="David" w:hAnsi="David" w:hint="cs"/>
          <w:u w:val="single"/>
          <w:rtl/>
        </w:rPr>
        <w:t>סתירה בענין השקעות ושיפוצים בנכס</w:t>
      </w:r>
    </w:p>
    <w:p w:rsidR="00EF7D5F" w:rsidRDefault="005D4E8C"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w:t>
      </w:r>
      <w:r w:rsidR="0024558C">
        <w:rPr>
          <w:rFonts w:ascii="David" w:hAnsi="David" w:cs="David" w:hint="cs"/>
          <w:sz w:val="24"/>
          <w:szCs w:val="24"/>
          <w:rtl/>
        </w:rPr>
        <w:t>בו</w:t>
      </w:r>
      <w:r w:rsidR="000033F8">
        <w:rPr>
          <w:rFonts w:ascii="David" w:hAnsi="David" w:cs="David" w:hint="cs"/>
          <w:sz w:val="24"/>
          <w:szCs w:val="24"/>
          <w:rtl/>
        </w:rPr>
        <w:t>ררת  בפרק "השקעות הנתבעים בנכס -</w:t>
      </w:r>
      <w:r w:rsidR="0024558C">
        <w:rPr>
          <w:rFonts w:ascii="David" w:hAnsi="David" w:cs="David" w:hint="cs"/>
          <w:sz w:val="24"/>
          <w:szCs w:val="24"/>
          <w:rtl/>
        </w:rPr>
        <w:t>לפסק הבוררות-</w:t>
      </w:r>
      <w:r>
        <w:rPr>
          <w:rFonts w:ascii="David" w:hAnsi="David" w:cs="David" w:hint="cs"/>
          <w:sz w:val="24"/>
          <w:szCs w:val="24"/>
          <w:rtl/>
        </w:rPr>
        <w:t>, דנה והכריעה בעני</w:t>
      </w:r>
      <w:r w:rsidR="0024558C">
        <w:rPr>
          <w:rFonts w:ascii="David" w:hAnsi="David" w:cs="David" w:hint="cs"/>
          <w:sz w:val="24"/>
          <w:szCs w:val="24"/>
          <w:rtl/>
        </w:rPr>
        <w:t>י</w:t>
      </w:r>
      <w:r>
        <w:rPr>
          <w:rFonts w:ascii="David" w:hAnsi="David" w:cs="David" w:hint="cs"/>
          <w:sz w:val="24"/>
          <w:szCs w:val="24"/>
          <w:rtl/>
        </w:rPr>
        <w:t>ן זה.</w:t>
      </w:r>
    </w:p>
    <w:p w:rsidR="00EF7D5F" w:rsidRDefault="005D4E8C" w:rsidP="002931B7">
      <w:pPr>
        <w:pStyle w:val="af"/>
        <w:spacing w:line="360" w:lineRule="auto"/>
        <w:ind w:left="360"/>
        <w:jc w:val="both"/>
        <w:rPr>
          <w:rFonts w:ascii="David" w:hAnsi="David" w:cs="David"/>
          <w:sz w:val="24"/>
          <w:szCs w:val="24"/>
          <w:rtl/>
        </w:rPr>
      </w:pPr>
      <w:r w:rsidRPr="00EF7D5F">
        <w:rPr>
          <w:rFonts w:ascii="David" w:hAnsi="David" w:cs="David" w:hint="cs"/>
          <w:sz w:val="24"/>
          <w:szCs w:val="24"/>
          <w:rtl/>
        </w:rPr>
        <w:t>הבוררת הביאה את טענות וראיות שני הצדדים, לרבות חוות דעת המהנדס עדנאן מסאלחה מטעם הנתבעים, חוות דעת שמאי דותן דרעי</w:t>
      </w:r>
      <w:r w:rsidR="000033F8">
        <w:rPr>
          <w:rFonts w:ascii="David" w:hAnsi="David" w:cs="David" w:hint="cs"/>
          <w:sz w:val="24"/>
          <w:szCs w:val="24"/>
          <w:rtl/>
        </w:rPr>
        <w:t xml:space="preserve"> מטעם התובעים </w:t>
      </w:r>
      <w:r w:rsidRPr="00EF7D5F">
        <w:rPr>
          <w:rFonts w:ascii="David" w:hAnsi="David" w:cs="David" w:hint="cs"/>
          <w:sz w:val="24"/>
          <w:szCs w:val="24"/>
          <w:rtl/>
        </w:rPr>
        <w:t xml:space="preserve">, חוות דעת </w:t>
      </w:r>
      <w:r w:rsidR="000033F8">
        <w:rPr>
          <w:rFonts w:ascii="David" w:hAnsi="David" w:cs="David" w:hint="cs"/>
          <w:sz w:val="24"/>
          <w:szCs w:val="24"/>
          <w:rtl/>
        </w:rPr>
        <w:t>ה</w:t>
      </w:r>
      <w:r w:rsidRPr="00EF7D5F">
        <w:rPr>
          <w:rFonts w:ascii="David" w:hAnsi="David" w:cs="David" w:hint="cs"/>
          <w:sz w:val="24"/>
          <w:szCs w:val="24"/>
          <w:rtl/>
        </w:rPr>
        <w:t xml:space="preserve">שמאי אלעד זעירא שהיא מינתה. הבוררת דחתה את </w:t>
      </w:r>
      <w:r w:rsidRPr="000033F8">
        <w:rPr>
          <w:rFonts w:ascii="David" w:hAnsi="David" w:cs="David" w:hint="cs"/>
          <w:sz w:val="24"/>
          <w:szCs w:val="24"/>
          <w:rtl/>
        </w:rPr>
        <w:t>טענת התובעים לפיה הנת</w:t>
      </w:r>
      <w:r w:rsidR="000033F8">
        <w:rPr>
          <w:rFonts w:ascii="David" w:hAnsi="David" w:cs="David" w:hint="cs"/>
          <w:sz w:val="24"/>
          <w:szCs w:val="24"/>
          <w:rtl/>
        </w:rPr>
        <w:t>בעים לא היו רשאים להשקיע בנכס,</w:t>
      </w:r>
      <w:r w:rsidRPr="00EF7D5F">
        <w:rPr>
          <w:rFonts w:ascii="David" w:hAnsi="David" w:cs="David" w:hint="cs"/>
          <w:sz w:val="24"/>
          <w:szCs w:val="24"/>
          <w:rtl/>
        </w:rPr>
        <w:t xml:space="preserve"> וקבעה : </w:t>
      </w:r>
      <w:r w:rsidRPr="000033F8">
        <w:rPr>
          <w:rFonts w:ascii="David" w:hAnsi="David" w:cs="David" w:hint="cs"/>
          <w:b/>
          <w:bCs/>
          <w:sz w:val="24"/>
          <w:szCs w:val="24"/>
          <w:rtl/>
        </w:rPr>
        <w:t>"יש</w:t>
      </w:r>
      <w:r w:rsidRPr="00EF7D5F">
        <w:rPr>
          <w:rFonts w:ascii="David" w:hAnsi="David" w:cs="David" w:hint="cs"/>
          <w:sz w:val="24"/>
          <w:szCs w:val="24"/>
          <w:rtl/>
        </w:rPr>
        <w:t xml:space="preserve"> </w:t>
      </w:r>
      <w:r w:rsidRPr="00EF7D5F">
        <w:rPr>
          <w:rFonts w:ascii="David" w:hAnsi="David" w:cs="David" w:hint="cs"/>
          <w:b/>
          <w:bCs/>
          <w:sz w:val="24"/>
          <w:szCs w:val="24"/>
          <w:rtl/>
        </w:rPr>
        <w:t>לראות את הסכם המתנה ככולל ,  כחלק בלתי נפר</w:t>
      </w:r>
      <w:r w:rsidR="00893D05">
        <w:rPr>
          <w:rFonts w:ascii="David" w:hAnsi="David" w:cs="David" w:hint="cs"/>
          <w:b/>
          <w:bCs/>
          <w:sz w:val="24"/>
          <w:szCs w:val="24"/>
          <w:rtl/>
        </w:rPr>
        <w:t xml:space="preserve">ד מממנו, הסכמת התובעים לשימוש הנתבע </w:t>
      </w:r>
      <w:r w:rsidRPr="00EF7D5F">
        <w:rPr>
          <w:rFonts w:ascii="David" w:hAnsi="David" w:cs="David" w:hint="cs"/>
          <w:b/>
          <w:bCs/>
          <w:sz w:val="24"/>
          <w:szCs w:val="24"/>
          <w:rtl/>
        </w:rPr>
        <w:t xml:space="preserve"> בדירה, ללא תנאי וסייג...לפיכך יש ראות בתובעים כמי שנתנו הסכמתם לשיפוץ".</w:t>
      </w:r>
      <w:r w:rsidRPr="00EF7D5F">
        <w:rPr>
          <w:rFonts w:ascii="David" w:hAnsi="David" w:cs="David" w:hint="cs"/>
          <w:sz w:val="24"/>
          <w:szCs w:val="24"/>
          <w:rtl/>
        </w:rPr>
        <w:t xml:space="preserve"> </w:t>
      </w:r>
    </w:p>
    <w:p w:rsidR="00EF7D5F" w:rsidRDefault="005D4E8C" w:rsidP="002931B7">
      <w:pPr>
        <w:pStyle w:val="af"/>
        <w:spacing w:line="360" w:lineRule="auto"/>
        <w:ind w:left="360"/>
        <w:jc w:val="both"/>
        <w:rPr>
          <w:rFonts w:ascii="David" w:hAnsi="David" w:cs="David"/>
          <w:sz w:val="24"/>
          <w:szCs w:val="24"/>
          <w:rtl/>
        </w:rPr>
      </w:pPr>
      <w:r w:rsidRPr="00EF7D5F">
        <w:rPr>
          <w:rFonts w:ascii="David" w:hAnsi="David" w:cs="David" w:hint="cs"/>
          <w:sz w:val="24"/>
          <w:szCs w:val="24"/>
          <w:rtl/>
        </w:rPr>
        <w:t>הבוררת קבעה שווי ה</w:t>
      </w:r>
      <w:r w:rsidR="0024558C">
        <w:rPr>
          <w:rFonts w:ascii="David" w:hAnsi="David" w:cs="David" w:hint="cs"/>
          <w:sz w:val="24"/>
          <w:szCs w:val="24"/>
          <w:rtl/>
        </w:rPr>
        <w:t xml:space="preserve">השקעות על דרך האומדנה, בהתבסס על חוות הדעת שהוצגו בפניה </w:t>
      </w:r>
      <w:r w:rsidRPr="00EF7D5F">
        <w:rPr>
          <w:rFonts w:ascii="David" w:hAnsi="David" w:cs="David" w:hint="cs"/>
          <w:sz w:val="24"/>
          <w:szCs w:val="24"/>
          <w:rtl/>
        </w:rPr>
        <w:t>: כך קבעה: "</w:t>
      </w:r>
      <w:r w:rsidRPr="00EF7D5F">
        <w:rPr>
          <w:rFonts w:ascii="David" w:hAnsi="David" w:cs="David" w:hint="cs"/>
          <w:b/>
          <w:bCs/>
          <w:sz w:val="24"/>
          <w:szCs w:val="24"/>
          <w:rtl/>
        </w:rPr>
        <w:t>לאחר בחינת מכלול התיעוד שהוצג לרבות עיון בחוות דעת השמאי לעני</w:t>
      </w:r>
      <w:r w:rsidR="000033F8">
        <w:rPr>
          <w:rFonts w:ascii="David" w:hAnsi="David" w:cs="David" w:hint="cs"/>
          <w:b/>
          <w:bCs/>
          <w:sz w:val="24"/>
          <w:szCs w:val="24"/>
          <w:rtl/>
        </w:rPr>
        <w:t>י</w:t>
      </w:r>
      <w:r w:rsidRPr="00EF7D5F">
        <w:rPr>
          <w:rFonts w:ascii="David" w:hAnsi="David" w:cs="David" w:hint="cs"/>
          <w:b/>
          <w:bCs/>
          <w:sz w:val="24"/>
          <w:szCs w:val="24"/>
          <w:rtl/>
        </w:rPr>
        <w:t>ן הש</w:t>
      </w:r>
      <w:r w:rsidR="0024558C">
        <w:rPr>
          <w:rFonts w:ascii="David" w:hAnsi="David" w:cs="David" w:hint="cs"/>
          <w:b/>
          <w:bCs/>
          <w:sz w:val="24"/>
          <w:szCs w:val="24"/>
          <w:rtl/>
        </w:rPr>
        <w:t>יפוצ</w:t>
      </w:r>
      <w:r w:rsidRPr="00EF7D5F">
        <w:rPr>
          <w:rFonts w:ascii="David" w:hAnsi="David" w:cs="David" w:hint="cs"/>
          <w:b/>
          <w:bCs/>
          <w:sz w:val="24"/>
          <w:szCs w:val="24"/>
          <w:rtl/>
        </w:rPr>
        <w:t>ים, ראיתי לקבוע את שווי השקעות ב</w:t>
      </w:r>
      <w:r w:rsidR="0024558C">
        <w:rPr>
          <w:rFonts w:ascii="David" w:hAnsi="David" w:cs="David" w:hint="cs"/>
          <w:b/>
          <w:bCs/>
          <w:sz w:val="24"/>
          <w:szCs w:val="24"/>
          <w:rtl/>
        </w:rPr>
        <w:t>נ</w:t>
      </w:r>
      <w:r w:rsidRPr="00EF7D5F">
        <w:rPr>
          <w:rFonts w:ascii="David" w:hAnsi="David" w:cs="David" w:hint="cs"/>
          <w:b/>
          <w:bCs/>
          <w:sz w:val="24"/>
          <w:szCs w:val="24"/>
          <w:rtl/>
        </w:rPr>
        <w:t>כס על דרך האומדן</w:t>
      </w:r>
      <w:r w:rsidRPr="00EF7D5F">
        <w:rPr>
          <w:rFonts w:ascii="David" w:hAnsi="David" w:cs="David" w:hint="cs"/>
          <w:sz w:val="24"/>
          <w:szCs w:val="24"/>
          <w:rtl/>
        </w:rPr>
        <w:t>.." הבוררת התייחסה בעני</w:t>
      </w:r>
      <w:r w:rsidR="0024558C">
        <w:rPr>
          <w:rFonts w:ascii="David" w:hAnsi="David" w:cs="David" w:hint="cs"/>
          <w:sz w:val="24"/>
          <w:szCs w:val="24"/>
          <w:rtl/>
        </w:rPr>
        <w:t>י</w:t>
      </w:r>
      <w:r w:rsidRPr="00EF7D5F">
        <w:rPr>
          <w:rFonts w:ascii="David" w:hAnsi="David" w:cs="David" w:hint="cs"/>
          <w:sz w:val="24"/>
          <w:szCs w:val="24"/>
          <w:rtl/>
        </w:rPr>
        <w:t>ן זה ל</w:t>
      </w:r>
      <w:r w:rsidR="000033F8">
        <w:rPr>
          <w:rFonts w:ascii="David" w:hAnsi="David" w:cs="David" w:hint="cs"/>
          <w:sz w:val="24"/>
          <w:szCs w:val="24"/>
          <w:rtl/>
        </w:rPr>
        <w:t xml:space="preserve">שלוש </w:t>
      </w:r>
      <w:r w:rsidRPr="00EF7D5F">
        <w:rPr>
          <w:rFonts w:ascii="David" w:hAnsi="David" w:cs="David" w:hint="cs"/>
          <w:sz w:val="24"/>
          <w:szCs w:val="24"/>
          <w:rtl/>
        </w:rPr>
        <w:t xml:space="preserve"> חוות דעת:</w:t>
      </w:r>
    </w:p>
    <w:p w:rsidR="00E93346" w:rsidRDefault="005D4E8C" w:rsidP="002931B7">
      <w:pPr>
        <w:pStyle w:val="af"/>
        <w:spacing w:line="360" w:lineRule="auto"/>
        <w:ind w:left="360"/>
        <w:jc w:val="both"/>
        <w:rPr>
          <w:rFonts w:ascii="David" w:hAnsi="David" w:cs="David"/>
          <w:b/>
          <w:bCs/>
          <w:sz w:val="24"/>
          <w:szCs w:val="24"/>
          <w:rtl/>
        </w:rPr>
      </w:pPr>
      <w:r w:rsidRPr="00EF7D5F">
        <w:rPr>
          <w:rFonts w:ascii="David" w:hAnsi="David" w:cs="David" w:hint="cs"/>
          <w:sz w:val="24"/>
          <w:szCs w:val="24"/>
          <w:rtl/>
        </w:rPr>
        <w:t>"</w:t>
      </w:r>
      <w:r w:rsidRPr="00EF7D5F">
        <w:rPr>
          <w:rFonts w:ascii="David" w:hAnsi="David" w:cs="David" w:hint="cs"/>
          <w:b/>
          <w:bCs/>
          <w:sz w:val="24"/>
          <w:szCs w:val="24"/>
          <w:rtl/>
        </w:rPr>
        <w:t>המומחה שמונה מטעמי , השמאי אלעד זעירא, ציין בחוות דעתו כי קבע את עלויות השיפוץ והשבחות שבוצעו בנכס לפי חוות דעת המהנדס עדנאן מסאלחה שהוגשה לבית משפט מטעם הנתבעים. .</w:t>
      </w:r>
      <w:r w:rsidRPr="00EF7D5F">
        <w:rPr>
          <w:rFonts w:ascii="David" w:hAnsi="David" w:cs="David" w:hint="cs"/>
          <w:sz w:val="24"/>
          <w:szCs w:val="24"/>
          <w:rtl/>
        </w:rPr>
        <w:t>...</w:t>
      </w:r>
      <w:r w:rsidRPr="00EF7D5F">
        <w:rPr>
          <w:rFonts w:ascii="David" w:hAnsi="David" w:cs="David" w:hint="cs"/>
          <w:b/>
          <w:bCs/>
          <w:sz w:val="24"/>
          <w:szCs w:val="24"/>
          <w:rtl/>
        </w:rPr>
        <w:t>על פי חוות דעת המהנדס מסאלחה עליו נסמך המומחה המוסכם, עלויות שיפוץ הבית הסתכמו בסך של 200,775 שח ....עיון בחוות דעת זו מעלה כי המהנדס מסאלחה העריך את שווי השיפוץ , על</w:t>
      </w:r>
      <w:r w:rsidR="00893D05">
        <w:rPr>
          <w:rFonts w:ascii="David" w:hAnsi="David" w:cs="David" w:hint="cs"/>
          <w:b/>
          <w:bCs/>
          <w:sz w:val="24"/>
          <w:szCs w:val="24"/>
          <w:rtl/>
        </w:rPr>
        <w:t xml:space="preserve"> סמך ביקור בבית ומדע שמסרו לו הנתבע </w:t>
      </w:r>
      <w:r w:rsidRPr="00EF7D5F">
        <w:rPr>
          <w:rFonts w:ascii="David" w:hAnsi="David" w:cs="David" w:hint="cs"/>
          <w:b/>
          <w:bCs/>
          <w:sz w:val="24"/>
          <w:szCs w:val="24"/>
          <w:rtl/>
        </w:rPr>
        <w:t xml:space="preserve"> בנוגע להיקף השיפוץ שבוצע בבית.</w:t>
      </w:r>
    </w:p>
    <w:p w:rsidR="00E93346" w:rsidRDefault="00893D05" w:rsidP="002931B7">
      <w:pPr>
        <w:pStyle w:val="af"/>
        <w:spacing w:line="360" w:lineRule="auto"/>
        <w:ind w:left="360"/>
        <w:jc w:val="both"/>
        <w:rPr>
          <w:rFonts w:ascii="David" w:hAnsi="David" w:cs="David"/>
          <w:b/>
          <w:bCs/>
          <w:sz w:val="24"/>
          <w:szCs w:val="24"/>
          <w:rtl/>
        </w:rPr>
      </w:pPr>
      <w:r>
        <w:rPr>
          <w:rFonts w:ascii="David" w:hAnsi="David" w:cs="David" w:hint="cs"/>
          <w:b/>
          <w:bCs/>
          <w:sz w:val="24"/>
          <w:szCs w:val="24"/>
          <w:rtl/>
        </w:rPr>
        <w:t xml:space="preserve">הנתבע </w:t>
      </w:r>
      <w:r w:rsidR="005D4E8C" w:rsidRPr="00E93346">
        <w:rPr>
          <w:rFonts w:ascii="David" w:hAnsi="David" w:cs="David" w:hint="cs"/>
          <w:b/>
          <w:bCs/>
          <w:sz w:val="24"/>
          <w:szCs w:val="24"/>
          <w:rtl/>
        </w:rPr>
        <w:t xml:space="preserve"> לא הציג בפני מסאלחה קבלות או ראיות כלשהן  באשר לשווי השיפוץ והיקפו. גם בפני המומחה מטעמי לא הוצגו ראיות כלשהן...."</w:t>
      </w:r>
      <w:r w:rsidR="00E93346">
        <w:rPr>
          <w:rFonts w:ascii="David" w:hAnsi="David" w:cs="David"/>
          <w:b/>
          <w:bCs/>
          <w:sz w:val="24"/>
          <w:szCs w:val="24"/>
          <w:rtl/>
        </w:rPr>
        <w:tab/>
      </w:r>
    </w:p>
    <w:p w:rsidR="00E93346" w:rsidRDefault="005D4E8C" w:rsidP="002931B7">
      <w:pPr>
        <w:pStyle w:val="af"/>
        <w:spacing w:line="360" w:lineRule="auto"/>
        <w:ind w:left="360"/>
        <w:jc w:val="both"/>
        <w:rPr>
          <w:rFonts w:ascii="David" w:hAnsi="David" w:cs="David"/>
          <w:sz w:val="24"/>
          <w:szCs w:val="24"/>
          <w:rtl/>
        </w:rPr>
      </w:pPr>
      <w:r w:rsidRPr="00E93346">
        <w:rPr>
          <w:rFonts w:ascii="David" w:hAnsi="David" w:cs="David" w:hint="cs"/>
          <w:sz w:val="24"/>
          <w:szCs w:val="24"/>
          <w:rtl/>
        </w:rPr>
        <w:t>הבוררת התייחסה גם לחוות דעת שמאי דותן דרעי וציינה "..</w:t>
      </w:r>
      <w:r w:rsidRPr="00E93346">
        <w:rPr>
          <w:rFonts w:ascii="David" w:hAnsi="David" w:cs="David" w:hint="cs"/>
          <w:b/>
          <w:bCs/>
          <w:sz w:val="24"/>
          <w:szCs w:val="24"/>
          <w:rtl/>
        </w:rPr>
        <w:t>מחוות דעתו לא ניתן אומנם ללמוד באשר לע</w:t>
      </w:r>
      <w:r w:rsidR="001F1011">
        <w:rPr>
          <w:rFonts w:ascii="David" w:hAnsi="David" w:cs="David" w:hint="cs"/>
          <w:b/>
          <w:bCs/>
          <w:sz w:val="24"/>
          <w:szCs w:val="24"/>
          <w:rtl/>
        </w:rPr>
        <w:t xml:space="preserve">לויות השיפוץ שבוצעו בדירה,אולם </w:t>
      </w:r>
      <w:r w:rsidRPr="00E93346">
        <w:rPr>
          <w:rFonts w:ascii="David" w:hAnsi="David" w:cs="David" w:hint="cs"/>
          <w:b/>
          <w:bCs/>
          <w:sz w:val="24"/>
          <w:szCs w:val="24"/>
          <w:rtl/>
        </w:rPr>
        <w:t>יש בה כדי ללמד ולו באופן חלקי על היקף השיפוץ שבוצע, שאינו שיפוץ כה משמעותי</w:t>
      </w:r>
      <w:r w:rsidRPr="00E93346">
        <w:rPr>
          <w:rFonts w:ascii="David" w:hAnsi="David" w:cs="David" w:hint="cs"/>
          <w:sz w:val="24"/>
          <w:szCs w:val="24"/>
          <w:rtl/>
        </w:rPr>
        <w:t>".  הבוררת הוסיפה : "...</w:t>
      </w:r>
      <w:r w:rsidRPr="00E93346">
        <w:rPr>
          <w:rFonts w:ascii="David" w:hAnsi="David" w:cs="David" w:hint="cs"/>
          <w:b/>
          <w:bCs/>
          <w:sz w:val="24"/>
          <w:szCs w:val="24"/>
          <w:rtl/>
        </w:rPr>
        <w:t>גם השמאי המוסכם , אישר בעדותו כי יש להעדיף את חוות דעת השמאי הקודם דותן דרע</w:t>
      </w:r>
      <w:r w:rsidRPr="00E93346">
        <w:rPr>
          <w:rFonts w:ascii="David" w:hAnsi="David" w:cs="David" w:hint="cs"/>
          <w:sz w:val="24"/>
          <w:szCs w:val="24"/>
          <w:rtl/>
        </w:rPr>
        <w:t>י ..."</w:t>
      </w:r>
    </w:p>
    <w:p w:rsidR="005D4E8C" w:rsidRPr="004C3343" w:rsidRDefault="001F1011" w:rsidP="002931B7">
      <w:pPr>
        <w:pStyle w:val="af"/>
        <w:spacing w:line="360" w:lineRule="auto"/>
        <w:ind w:left="360"/>
        <w:jc w:val="both"/>
        <w:rPr>
          <w:rFonts w:ascii="David" w:hAnsi="David" w:cs="David"/>
          <w:sz w:val="24"/>
          <w:szCs w:val="24"/>
        </w:rPr>
      </w:pPr>
      <w:r>
        <w:rPr>
          <w:rFonts w:ascii="David" w:hAnsi="David" w:cs="David" w:hint="cs"/>
          <w:sz w:val="24"/>
          <w:szCs w:val="24"/>
          <w:rtl/>
        </w:rPr>
        <w:t xml:space="preserve">ולענין </w:t>
      </w:r>
      <w:r w:rsidR="005D4E8C" w:rsidRPr="00E93346">
        <w:rPr>
          <w:rFonts w:ascii="David" w:hAnsi="David" w:cs="David" w:hint="cs"/>
          <w:sz w:val="24"/>
          <w:szCs w:val="24"/>
          <w:rtl/>
        </w:rPr>
        <w:t xml:space="preserve">סכום ההשקעות, </w:t>
      </w:r>
      <w:r w:rsidR="00E93346">
        <w:rPr>
          <w:rFonts w:ascii="David" w:hAnsi="David" w:cs="David" w:hint="cs"/>
          <w:sz w:val="24"/>
          <w:szCs w:val="24"/>
          <w:rtl/>
        </w:rPr>
        <w:t xml:space="preserve">קבעה הבוררת </w:t>
      </w:r>
      <w:r w:rsidR="005D4E8C" w:rsidRPr="00E93346">
        <w:rPr>
          <w:rFonts w:ascii="David" w:hAnsi="David" w:cs="David" w:hint="cs"/>
          <w:sz w:val="24"/>
          <w:szCs w:val="24"/>
          <w:rtl/>
        </w:rPr>
        <w:t xml:space="preserve"> " </w:t>
      </w:r>
      <w:r w:rsidR="005D4E8C" w:rsidRPr="00E93346">
        <w:rPr>
          <w:rFonts w:ascii="David" w:hAnsi="David" w:cs="David" w:hint="cs"/>
          <w:b/>
          <w:bCs/>
          <w:sz w:val="24"/>
          <w:szCs w:val="24"/>
          <w:rtl/>
        </w:rPr>
        <w:t>בנסיבות אלה ומשעה שהנתבעים לא הציגו ראיות, או קבלות לת</w:t>
      </w:r>
      <w:r w:rsidR="00B11147">
        <w:rPr>
          <w:rFonts w:ascii="David" w:hAnsi="David" w:cs="David" w:hint="cs"/>
          <w:b/>
          <w:bCs/>
          <w:sz w:val="24"/>
          <w:szCs w:val="24"/>
          <w:rtl/>
        </w:rPr>
        <w:t>מיכה בטיעוניהם באשר לעלויות ה</w:t>
      </w:r>
      <w:r w:rsidR="005D4E8C" w:rsidRPr="00E93346">
        <w:rPr>
          <w:rFonts w:ascii="David" w:hAnsi="David" w:cs="David" w:hint="cs"/>
          <w:b/>
          <w:bCs/>
          <w:sz w:val="24"/>
          <w:szCs w:val="24"/>
          <w:rtl/>
        </w:rPr>
        <w:t>ש</w:t>
      </w:r>
      <w:r w:rsidR="00B11147">
        <w:rPr>
          <w:rFonts w:ascii="David" w:hAnsi="David" w:cs="David" w:hint="cs"/>
          <w:b/>
          <w:bCs/>
          <w:sz w:val="24"/>
          <w:szCs w:val="24"/>
          <w:rtl/>
        </w:rPr>
        <w:t>י</w:t>
      </w:r>
      <w:r w:rsidR="005D4E8C" w:rsidRPr="00E93346">
        <w:rPr>
          <w:rFonts w:ascii="David" w:hAnsi="David" w:cs="David" w:hint="cs"/>
          <w:b/>
          <w:bCs/>
          <w:sz w:val="24"/>
          <w:szCs w:val="24"/>
          <w:rtl/>
        </w:rPr>
        <w:t>פוץ, אני קובעת על דרך האומדנא, כי עלויות השיפוץ מסתכמות בסך של 200,000שח. מצאתי שיש להפחית את סכום ההשקעות כולו בשל כך שהשקעות אלה השביחו את ערך הנכס כולו</w:t>
      </w:r>
      <w:r w:rsidR="005D4E8C" w:rsidRPr="00E93346">
        <w:rPr>
          <w:rFonts w:ascii="David" w:hAnsi="David" w:cs="David" w:hint="cs"/>
          <w:sz w:val="24"/>
          <w:szCs w:val="24"/>
          <w:rtl/>
        </w:rPr>
        <w:t>..</w:t>
      </w:r>
      <w:r w:rsidR="004C3343">
        <w:rPr>
          <w:rFonts w:ascii="David" w:hAnsi="David" w:cs="David" w:hint="cs"/>
          <w:sz w:val="24"/>
          <w:szCs w:val="24"/>
          <w:rtl/>
        </w:rPr>
        <w:t>.</w:t>
      </w:r>
      <w:r w:rsidR="005D4E8C" w:rsidRPr="00E93346">
        <w:rPr>
          <w:rFonts w:ascii="David" w:hAnsi="David" w:cs="David" w:hint="cs"/>
          <w:sz w:val="24"/>
          <w:szCs w:val="24"/>
          <w:rtl/>
        </w:rPr>
        <w:t>.</w:t>
      </w:r>
      <w:r w:rsidR="00B11147" w:rsidRPr="004C3343">
        <w:rPr>
          <w:rFonts w:ascii="David" w:hAnsi="David" w:cs="David" w:hint="cs"/>
          <w:b/>
          <w:bCs/>
          <w:sz w:val="24"/>
          <w:szCs w:val="24"/>
          <w:rtl/>
        </w:rPr>
        <w:t>כן ראיתי לקזז מהסכום המגיע לתו</w:t>
      </w:r>
      <w:r w:rsidR="00654972" w:rsidRPr="004C3343">
        <w:rPr>
          <w:rFonts w:ascii="David" w:hAnsi="David" w:cs="David" w:hint="cs"/>
          <w:b/>
          <w:bCs/>
          <w:sz w:val="24"/>
          <w:szCs w:val="24"/>
          <w:rtl/>
        </w:rPr>
        <w:t>בעים בגין שווי זכויותיהם בנכס,את</w:t>
      </w:r>
      <w:r w:rsidR="00B11147" w:rsidRPr="004C3343">
        <w:rPr>
          <w:rFonts w:ascii="David" w:hAnsi="David" w:cs="David" w:hint="cs"/>
          <w:b/>
          <w:bCs/>
          <w:sz w:val="24"/>
          <w:szCs w:val="24"/>
          <w:rtl/>
        </w:rPr>
        <w:t xml:space="preserve"> החובות בהם נשאו הנתבעים בגין הנכס אשר כוללים תשלום לרשות מקרקעי ישראל....</w:t>
      </w:r>
      <w:r w:rsidR="005D4E8C" w:rsidRPr="004C3343">
        <w:rPr>
          <w:rFonts w:ascii="David" w:hAnsi="David" w:cs="David" w:hint="cs"/>
          <w:b/>
          <w:bCs/>
          <w:sz w:val="24"/>
          <w:szCs w:val="24"/>
          <w:rtl/>
        </w:rPr>
        <w:t>סך כל הסכומים הללו מסתכם ב-48</w:t>
      </w:r>
      <w:r w:rsidR="00654972" w:rsidRPr="004C3343">
        <w:rPr>
          <w:rFonts w:ascii="David" w:hAnsi="David" w:cs="David" w:hint="cs"/>
          <w:b/>
          <w:bCs/>
          <w:sz w:val="24"/>
          <w:szCs w:val="24"/>
          <w:rtl/>
        </w:rPr>
        <w:t>,</w:t>
      </w:r>
      <w:r w:rsidR="005D4E8C" w:rsidRPr="004C3343">
        <w:rPr>
          <w:rFonts w:ascii="David" w:hAnsi="David" w:cs="David" w:hint="cs"/>
          <w:b/>
          <w:bCs/>
          <w:sz w:val="24"/>
          <w:szCs w:val="24"/>
          <w:rtl/>
        </w:rPr>
        <w:t>000שח(במעוגל) כאשר 75% מסכום עומד על סך 36</w:t>
      </w:r>
      <w:r w:rsidR="00654972" w:rsidRPr="004C3343">
        <w:rPr>
          <w:rFonts w:ascii="David" w:hAnsi="David" w:cs="David" w:hint="cs"/>
          <w:b/>
          <w:bCs/>
          <w:sz w:val="24"/>
          <w:szCs w:val="24"/>
          <w:rtl/>
        </w:rPr>
        <w:t>,</w:t>
      </w:r>
      <w:r w:rsidR="005D4E8C" w:rsidRPr="004C3343">
        <w:rPr>
          <w:rFonts w:ascii="David" w:hAnsi="David" w:cs="David" w:hint="cs"/>
          <w:b/>
          <w:bCs/>
          <w:sz w:val="24"/>
          <w:szCs w:val="24"/>
          <w:rtl/>
        </w:rPr>
        <w:t>000שח אותו יש לקזז מהסכום שייפסק לטובת התובעים".</w:t>
      </w:r>
    </w:p>
    <w:p w:rsidR="005D4E8C" w:rsidRDefault="005D4E8C" w:rsidP="002931B7">
      <w:pPr>
        <w:pStyle w:val="af"/>
        <w:spacing w:line="360" w:lineRule="auto"/>
        <w:jc w:val="both"/>
        <w:rPr>
          <w:rFonts w:ascii="David" w:hAnsi="David" w:cs="David"/>
          <w:sz w:val="24"/>
          <w:szCs w:val="24"/>
          <w:rtl/>
        </w:rPr>
      </w:pPr>
    </w:p>
    <w:p w:rsidR="005D4E8C" w:rsidRPr="001F1011" w:rsidRDefault="005D4E8C"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lastRenderedPageBreak/>
        <w:t>התובעים טוענים לסתירות בקביעת הבוררת בענ</w:t>
      </w:r>
      <w:r w:rsidR="00654972">
        <w:rPr>
          <w:rFonts w:ascii="David" w:hAnsi="David" w:cs="David" w:hint="cs"/>
          <w:sz w:val="24"/>
          <w:szCs w:val="24"/>
          <w:rtl/>
        </w:rPr>
        <w:t>י</w:t>
      </w:r>
      <w:r>
        <w:rPr>
          <w:rFonts w:ascii="David" w:hAnsi="David" w:cs="David" w:hint="cs"/>
          <w:sz w:val="24"/>
          <w:szCs w:val="24"/>
          <w:rtl/>
        </w:rPr>
        <w:t>ין זה. טענות אלה אינן מק</w:t>
      </w:r>
      <w:r w:rsidR="00654972">
        <w:rPr>
          <w:rFonts w:ascii="David" w:hAnsi="David" w:cs="David" w:hint="cs"/>
          <w:sz w:val="24"/>
          <w:szCs w:val="24"/>
          <w:rtl/>
        </w:rPr>
        <w:t>וב</w:t>
      </w:r>
      <w:r>
        <w:rPr>
          <w:rFonts w:ascii="David" w:hAnsi="David" w:cs="David" w:hint="cs"/>
          <w:sz w:val="24"/>
          <w:szCs w:val="24"/>
          <w:rtl/>
        </w:rPr>
        <w:t>לות עליי; התובעים העלו טענותיהם באופן לא מסודר</w:t>
      </w:r>
      <w:r w:rsidR="00654972">
        <w:rPr>
          <w:rFonts w:ascii="David" w:hAnsi="David" w:cs="David" w:hint="cs"/>
          <w:sz w:val="24"/>
          <w:szCs w:val="24"/>
          <w:rtl/>
        </w:rPr>
        <w:t>,</w:t>
      </w:r>
      <w:r>
        <w:rPr>
          <w:rFonts w:ascii="David" w:hAnsi="David" w:cs="David" w:hint="cs"/>
          <w:sz w:val="24"/>
          <w:szCs w:val="24"/>
          <w:rtl/>
        </w:rPr>
        <w:t xml:space="preserve"> ודומה כי מנסים להלביש קביעות הבוררת בלבוש של "סתירות"</w:t>
      </w:r>
      <w:r w:rsidR="00654972">
        <w:rPr>
          <w:rFonts w:ascii="David" w:hAnsi="David" w:cs="David" w:hint="cs"/>
          <w:sz w:val="24"/>
          <w:szCs w:val="24"/>
          <w:rtl/>
        </w:rPr>
        <w:t>,</w:t>
      </w:r>
      <w:r>
        <w:rPr>
          <w:rFonts w:ascii="David" w:hAnsi="David" w:cs="David" w:hint="cs"/>
          <w:sz w:val="24"/>
          <w:szCs w:val="24"/>
          <w:rtl/>
        </w:rPr>
        <w:t xml:space="preserve"> ולא כך</w:t>
      </w:r>
      <w:r w:rsidR="00654972">
        <w:rPr>
          <w:rFonts w:ascii="David" w:hAnsi="David" w:cs="David" w:hint="cs"/>
          <w:sz w:val="24"/>
          <w:szCs w:val="24"/>
          <w:rtl/>
        </w:rPr>
        <w:t xml:space="preserve"> הדבר </w:t>
      </w:r>
      <w:r>
        <w:rPr>
          <w:rFonts w:ascii="David" w:hAnsi="David" w:cs="David" w:hint="cs"/>
          <w:sz w:val="24"/>
          <w:szCs w:val="24"/>
          <w:rtl/>
        </w:rPr>
        <w:t xml:space="preserve">. מדובר </w:t>
      </w:r>
      <w:r w:rsidRPr="00561938">
        <w:rPr>
          <w:rFonts w:ascii="David" w:hAnsi="David" w:cs="David" w:hint="cs"/>
          <w:sz w:val="24"/>
          <w:szCs w:val="24"/>
          <w:rtl/>
        </w:rPr>
        <w:t xml:space="preserve">בקביעה לפי שיקול דעתה של הבוררת. </w:t>
      </w:r>
      <w:r>
        <w:rPr>
          <w:rFonts w:ascii="David" w:hAnsi="David" w:cs="David" w:hint="cs"/>
          <w:sz w:val="24"/>
          <w:szCs w:val="24"/>
          <w:rtl/>
        </w:rPr>
        <w:t>ו</w:t>
      </w:r>
      <w:r w:rsidRPr="00561938">
        <w:rPr>
          <w:rFonts w:ascii="David" w:hAnsi="David" w:cs="David" w:hint="cs"/>
          <w:sz w:val="24"/>
          <w:szCs w:val="24"/>
          <w:rtl/>
        </w:rPr>
        <w:t>אין כל "סתירה" בקביעות</w:t>
      </w:r>
      <w:r w:rsidR="00654972">
        <w:rPr>
          <w:rFonts w:ascii="David" w:hAnsi="David" w:cs="David" w:hint="cs"/>
          <w:sz w:val="24"/>
          <w:szCs w:val="24"/>
          <w:rtl/>
        </w:rPr>
        <w:t>י</w:t>
      </w:r>
      <w:r w:rsidRPr="00561938">
        <w:rPr>
          <w:rFonts w:ascii="David" w:hAnsi="David" w:cs="David" w:hint="cs"/>
          <w:sz w:val="24"/>
          <w:szCs w:val="24"/>
          <w:rtl/>
        </w:rPr>
        <w:t>ה בענ</w:t>
      </w:r>
      <w:r w:rsidR="00654972">
        <w:rPr>
          <w:rFonts w:ascii="David" w:hAnsi="David" w:cs="David" w:hint="cs"/>
          <w:sz w:val="24"/>
          <w:szCs w:val="24"/>
          <w:rtl/>
        </w:rPr>
        <w:t>י</w:t>
      </w:r>
      <w:r w:rsidRPr="00561938">
        <w:rPr>
          <w:rFonts w:ascii="David" w:hAnsi="David" w:cs="David" w:hint="cs"/>
          <w:sz w:val="24"/>
          <w:szCs w:val="24"/>
          <w:rtl/>
        </w:rPr>
        <w:t>ין זה.</w:t>
      </w:r>
      <w:r w:rsidR="00654972">
        <w:rPr>
          <w:rFonts w:ascii="David" w:hAnsi="David" w:cs="David" w:hint="cs"/>
          <w:sz w:val="24"/>
          <w:szCs w:val="24"/>
          <w:rtl/>
        </w:rPr>
        <w:t xml:space="preserve"> לכל היותר, מדובר בטענות ערעו</w:t>
      </w:r>
      <w:r w:rsidR="001F1011">
        <w:rPr>
          <w:rFonts w:ascii="David" w:hAnsi="David" w:cs="David" w:hint="cs"/>
          <w:sz w:val="24"/>
          <w:szCs w:val="24"/>
          <w:rtl/>
        </w:rPr>
        <w:t>ר</w:t>
      </w:r>
      <w:r>
        <w:rPr>
          <w:rFonts w:ascii="David" w:hAnsi="David" w:cs="David" w:hint="cs"/>
          <w:sz w:val="24"/>
          <w:szCs w:val="24"/>
          <w:rtl/>
        </w:rPr>
        <w:t xml:space="preserve"> במהותן.</w:t>
      </w:r>
      <w:r w:rsidR="004C3343">
        <w:rPr>
          <w:rFonts w:ascii="David" w:hAnsi="David" w:cs="David" w:hint="cs"/>
          <w:sz w:val="24"/>
          <w:szCs w:val="24"/>
          <w:rtl/>
        </w:rPr>
        <w:t xml:space="preserve"> </w:t>
      </w:r>
      <w:r w:rsidR="00654972">
        <w:rPr>
          <w:rFonts w:ascii="David" w:hAnsi="David" w:cs="David" w:hint="cs"/>
          <w:sz w:val="24"/>
          <w:szCs w:val="24"/>
          <w:rtl/>
        </w:rPr>
        <w:t>ל</w:t>
      </w:r>
      <w:r w:rsidR="00654972" w:rsidRPr="001F1011">
        <w:rPr>
          <w:rFonts w:ascii="David" w:hAnsi="David" w:cs="David" w:hint="cs"/>
          <w:sz w:val="24"/>
          <w:szCs w:val="24"/>
          <w:rtl/>
        </w:rPr>
        <w:t>הלן אתייחס לטענות התובעים.</w:t>
      </w:r>
    </w:p>
    <w:p w:rsidR="00654972" w:rsidRDefault="005D4E8C" w:rsidP="002931B7">
      <w:pPr>
        <w:pStyle w:val="af"/>
        <w:numPr>
          <w:ilvl w:val="0"/>
          <w:numId w:val="18"/>
        </w:numPr>
        <w:spacing w:line="360" w:lineRule="auto"/>
        <w:jc w:val="both"/>
        <w:rPr>
          <w:rFonts w:ascii="David" w:hAnsi="David" w:cs="David"/>
          <w:sz w:val="24"/>
          <w:szCs w:val="24"/>
        </w:rPr>
      </w:pPr>
      <w:r w:rsidRPr="00654972">
        <w:rPr>
          <w:rFonts w:ascii="David" w:hAnsi="David" w:cs="David" w:hint="cs"/>
          <w:sz w:val="24"/>
          <w:szCs w:val="24"/>
          <w:rtl/>
        </w:rPr>
        <w:t>לשיטת התובעים, הבוררת קובעת מחד כי על התובעים לשאת בכלל עלויות השיפוצים בנכס(אך מאידך הנתבעים אינם צריכים לשא</w:t>
      </w:r>
      <w:r w:rsidR="00654972" w:rsidRPr="00654972">
        <w:rPr>
          <w:rFonts w:ascii="David" w:hAnsi="David" w:cs="David" w:hint="cs"/>
          <w:sz w:val="24"/>
          <w:szCs w:val="24"/>
          <w:rtl/>
        </w:rPr>
        <w:t xml:space="preserve">ת כלל בתשלומי דמי שימוש </w:t>
      </w:r>
      <w:r w:rsidRPr="00654972">
        <w:rPr>
          <w:rFonts w:ascii="David" w:hAnsi="David" w:cs="David" w:hint="cs"/>
          <w:sz w:val="24"/>
          <w:szCs w:val="24"/>
          <w:rtl/>
        </w:rPr>
        <w:t>ראויים</w:t>
      </w:r>
      <w:r w:rsidR="001F1011">
        <w:rPr>
          <w:rFonts w:ascii="David" w:hAnsi="David" w:cs="David" w:hint="cs"/>
          <w:sz w:val="24"/>
          <w:szCs w:val="24"/>
          <w:rtl/>
        </w:rPr>
        <w:t>).</w:t>
      </w:r>
      <w:r w:rsidRPr="00654972">
        <w:rPr>
          <w:rFonts w:ascii="David" w:hAnsi="David" w:cs="David" w:hint="cs"/>
          <w:sz w:val="24"/>
          <w:szCs w:val="24"/>
          <w:rtl/>
        </w:rPr>
        <w:t xml:space="preserve"> </w:t>
      </w:r>
    </w:p>
    <w:p w:rsidR="00482E42" w:rsidRPr="00482E42" w:rsidRDefault="005D4E8C" w:rsidP="002931B7">
      <w:pPr>
        <w:pStyle w:val="af"/>
        <w:spacing w:line="360" w:lineRule="auto"/>
        <w:jc w:val="both"/>
        <w:rPr>
          <w:rFonts w:ascii="David" w:hAnsi="David" w:cs="David"/>
          <w:sz w:val="24"/>
          <w:szCs w:val="24"/>
          <w:rtl/>
        </w:rPr>
      </w:pPr>
      <w:r w:rsidRPr="00654972">
        <w:rPr>
          <w:rFonts w:ascii="David" w:hAnsi="David" w:cs="David" w:hint="cs"/>
          <w:sz w:val="24"/>
          <w:szCs w:val="24"/>
          <w:rtl/>
        </w:rPr>
        <w:t xml:space="preserve">אין בכך כלום. אין כל "סתירה" בין קביעת הבוררת לפיה "התובעים </w:t>
      </w:r>
      <w:r w:rsidR="00654972">
        <w:rPr>
          <w:rFonts w:ascii="David" w:hAnsi="David" w:cs="David" w:hint="cs"/>
          <w:sz w:val="24"/>
          <w:szCs w:val="24"/>
          <w:rtl/>
        </w:rPr>
        <w:t>אינם זכאים לדמי שימוש ראויים,</w:t>
      </w:r>
      <w:r w:rsidR="001F1011">
        <w:rPr>
          <w:rFonts w:ascii="David" w:hAnsi="David" w:cs="David" w:hint="cs"/>
          <w:sz w:val="24"/>
          <w:szCs w:val="24"/>
          <w:rtl/>
        </w:rPr>
        <w:t xml:space="preserve"> </w:t>
      </w:r>
      <w:r w:rsidRPr="00654972">
        <w:rPr>
          <w:rFonts w:ascii="David" w:hAnsi="David" w:cs="David" w:hint="cs"/>
          <w:sz w:val="24"/>
          <w:szCs w:val="24"/>
          <w:rtl/>
        </w:rPr>
        <w:t xml:space="preserve">לבין מסקנתה בדבר </w:t>
      </w:r>
      <w:r w:rsidR="00654972">
        <w:rPr>
          <w:rFonts w:ascii="David" w:hAnsi="David" w:cs="David" w:hint="cs"/>
          <w:sz w:val="24"/>
          <w:szCs w:val="24"/>
          <w:rtl/>
        </w:rPr>
        <w:t>קיזוז משווי הזכויות של התובעים את עלויות ההשקעה ו/או השבחת הנכס</w:t>
      </w:r>
      <w:r w:rsidR="00654972" w:rsidRPr="00654972">
        <w:rPr>
          <w:rFonts w:ascii="David" w:hAnsi="David" w:cs="David" w:hint="cs"/>
          <w:sz w:val="24"/>
          <w:szCs w:val="24"/>
          <w:rtl/>
        </w:rPr>
        <w:t>. מדובר בשתי סוגיות נפרדות .</w:t>
      </w:r>
      <w:r w:rsidRPr="00654972">
        <w:rPr>
          <w:rFonts w:ascii="David" w:hAnsi="David" w:cs="David" w:hint="cs"/>
          <w:sz w:val="24"/>
          <w:szCs w:val="24"/>
          <w:rtl/>
        </w:rPr>
        <w:t xml:space="preserve"> הבוררת בחנה טענות וראיות הצדדים בכל אחת מהסוגיו</w:t>
      </w:r>
      <w:r w:rsidR="00482E42">
        <w:rPr>
          <w:rFonts w:ascii="David" w:hAnsi="David" w:cs="David" w:hint="cs"/>
          <w:sz w:val="24"/>
          <w:szCs w:val="24"/>
          <w:rtl/>
        </w:rPr>
        <w:t>ת , והכריעה בהן לפי שיקול דעתה.</w:t>
      </w:r>
    </w:p>
    <w:p w:rsidR="005D4E8C" w:rsidRPr="00654972" w:rsidRDefault="005D4E8C" w:rsidP="002931B7">
      <w:pPr>
        <w:pStyle w:val="af"/>
        <w:spacing w:line="360" w:lineRule="auto"/>
        <w:jc w:val="both"/>
        <w:rPr>
          <w:rFonts w:ascii="David" w:hAnsi="David" w:cs="David"/>
          <w:sz w:val="24"/>
          <w:szCs w:val="24"/>
        </w:rPr>
      </w:pPr>
      <w:r w:rsidRPr="00654972">
        <w:rPr>
          <w:rFonts w:ascii="David" w:hAnsi="David" w:cs="David" w:hint="cs"/>
          <w:sz w:val="24"/>
          <w:szCs w:val="24"/>
          <w:rtl/>
        </w:rPr>
        <w:t xml:space="preserve"> </w:t>
      </w:r>
    </w:p>
    <w:p w:rsidR="00E35E6C" w:rsidRDefault="005D4E8C" w:rsidP="002931B7">
      <w:pPr>
        <w:pStyle w:val="af"/>
        <w:numPr>
          <w:ilvl w:val="0"/>
          <w:numId w:val="18"/>
        </w:numPr>
        <w:spacing w:line="360" w:lineRule="auto"/>
        <w:jc w:val="both"/>
        <w:rPr>
          <w:rFonts w:ascii="David" w:hAnsi="David" w:cs="David"/>
          <w:sz w:val="24"/>
          <w:szCs w:val="24"/>
        </w:rPr>
      </w:pPr>
      <w:r w:rsidRPr="00A511D9">
        <w:rPr>
          <w:rFonts w:ascii="David" w:hAnsi="David" w:cs="David" w:hint="cs"/>
          <w:sz w:val="24"/>
          <w:szCs w:val="24"/>
          <w:rtl/>
        </w:rPr>
        <w:t>לשיטת התובעים, הבוררת מקבלת למעשה, עמדת השמאי מטעם הנתבעים שקבע סכום דומה של 200,775 שח, וקובעת על דרך אומדן כי עלויות שיפוץ בסך של 200,000 שח, כאשר מאידך מונו שני שמאים לאחריו, כשהיא מפנה לשמאי שקבע כי לא בוצע שיפוץ משמעותי ועליו הסתמך השמאי המוסכם, וגם לא הוצגה כל קבלה /ראיה בעני</w:t>
      </w:r>
      <w:r w:rsidR="001F1011">
        <w:rPr>
          <w:rFonts w:ascii="David" w:hAnsi="David" w:cs="David" w:hint="cs"/>
          <w:sz w:val="24"/>
          <w:szCs w:val="24"/>
          <w:rtl/>
        </w:rPr>
        <w:t>י</w:t>
      </w:r>
      <w:r w:rsidRPr="00A511D9">
        <w:rPr>
          <w:rFonts w:ascii="David" w:hAnsi="David" w:cs="David" w:hint="cs"/>
          <w:sz w:val="24"/>
          <w:szCs w:val="24"/>
          <w:rtl/>
        </w:rPr>
        <w:t xml:space="preserve">ן </w:t>
      </w:r>
      <w:r w:rsidR="001F1011">
        <w:rPr>
          <w:rFonts w:ascii="David" w:hAnsi="David" w:cs="David" w:hint="cs"/>
          <w:sz w:val="24"/>
          <w:szCs w:val="24"/>
          <w:rtl/>
        </w:rPr>
        <w:t>ה</w:t>
      </w:r>
      <w:r w:rsidRPr="00A511D9">
        <w:rPr>
          <w:rFonts w:ascii="David" w:hAnsi="David" w:cs="David" w:hint="cs"/>
          <w:sz w:val="24"/>
          <w:szCs w:val="24"/>
          <w:rtl/>
        </w:rPr>
        <w:t>שיפוץ;</w:t>
      </w:r>
    </w:p>
    <w:p w:rsidR="00E35E6C" w:rsidRDefault="005D4E8C" w:rsidP="002931B7">
      <w:pPr>
        <w:pStyle w:val="af"/>
        <w:spacing w:line="360" w:lineRule="auto"/>
        <w:jc w:val="both"/>
        <w:rPr>
          <w:rFonts w:ascii="David" w:hAnsi="David" w:cs="David"/>
          <w:sz w:val="24"/>
          <w:szCs w:val="24"/>
          <w:rtl/>
        </w:rPr>
      </w:pPr>
      <w:r w:rsidRPr="00A511D9">
        <w:rPr>
          <w:rFonts w:ascii="David" w:hAnsi="David" w:cs="David" w:hint="cs"/>
          <w:sz w:val="24"/>
          <w:szCs w:val="24"/>
          <w:rtl/>
        </w:rPr>
        <w:t xml:space="preserve"> גם בטענה זו אין כלום ואין כל "סתירה". מדובר בקביעה שבשיקול דעת הבוררת. כאמור לעיל, הבוררת </w:t>
      </w:r>
      <w:r>
        <w:rPr>
          <w:rFonts w:ascii="David" w:hAnsi="David" w:cs="David" w:hint="cs"/>
          <w:sz w:val="24"/>
          <w:szCs w:val="24"/>
          <w:rtl/>
        </w:rPr>
        <w:t xml:space="preserve">בפסק, </w:t>
      </w:r>
      <w:r w:rsidR="00893D05">
        <w:rPr>
          <w:rFonts w:ascii="David" w:hAnsi="David" w:cs="David" w:hint="cs"/>
          <w:sz w:val="24"/>
          <w:szCs w:val="24"/>
          <w:rtl/>
        </w:rPr>
        <w:t>בחנה</w:t>
      </w:r>
      <w:r w:rsidRPr="00A511D9">
        <w:rPr>
          <w:rFonts w:ascii="David" w:hAnsi="David" w:cs="David" w:hint="cs"/>
          <w:sz w:val="24"/>
          <w:szCs w:val="24"/>
          <w:rtl/>
        </w:rPr>
        <w:t xml:space="preserve"> את טענות וראיות הצדדים לרבות חוות דעת השמאים וגם בשים לב לשאלת הקבלות/ראיות, והגיעה למסקנות</w:t>
      </w:r>
      <w:r>
        <w:rPr>
          <w:rFonts w:ascii="David" w:hAnsi="David" w:cs="David" w:hint="cs"/>
          <w:sz w:val="24"/>
          <w:szCs w:val="24"/>
          <w:rtl/>
        </w:rPr>
        <w:t xml:space="preserve"> בענ</w:t>
      </w:r>
      <w:r w:rsidR="00FD5643">
        <w:rPr>
          <w:rFonts w:ascii="David" w:hAnsi="David" w:cs="David" w:hint="cs"/>
          <w:sz w:val="24"/>
          <w:szCs w:val="24"/>
          <w:rtl/>
        </w:rPr>
        <w:t>י</w:t>
      </w:r>
      <w:r>
        <w:rPr>
          <w:rFonts w:ascii="David" w:hAnsi="David" w:cs="David" w:hint="cs"/>
          <w:sz w:val="24"/>
          <w:szCs w:val="24"/>
          <w:rtl/>
        </w:rPr>
        <w:t>ין שווי השקעות</w:t>
      </w:r>
      <w:r w:rsidR="00E35E6C">
        <w:rPr>
          <w:rFonts w:ascii="David" w:hAnsi="David" w:cs="David" w:hint="cs"/>
          <w:sz w:val="24"/>
          <w:szCs w:val="24"/>
          <w:rtl/>
        </w:rPr>
        <w:t xml:space="preserve"> על דרך האומדנה.</w:t>
      </w:r>
    </w:p>
    <w:p w:rsidR="005D4E8C" w:rsidRDefault="00E35E6C" w:rsidP="002931B7">
      <w:pPr>
        <w:pStyle w:val="af"/>
        <w:spacing w:line="360" w:lineRule="auto"/>
        <w:jc w:val="both"/>
        <w:rPr>
          <w:rFonts w:ascii="David" w:hAnsi="David" w:cs="David"/>
          <w:sz w:val="24"/>
          <w:szCs w:val="24"/>
          <w:rtl/>
        </w:rPr>
      </w:pPr>
      <w:r>
        <w:rPr>
          <w:rFonts w:ascii="David" w:hAnsi="David" w:cs="David" w:hint="cs"/>
          <w:sz w:val="24"/>
          <w:szCs w:val="24"/>
          <w:rtl/>
        </w:rPr>
        <w:t>אוסיף כי השמאי מטעם הנתבעים עדנאן מסאלחה העריך את שווי ההשקעות על הסך של 358,015 בחוות דעת מיום 3/8/2016 (צורפה לכתב ההגנה של הנתבעים),</w:t>
      </w:r>
      <w:r w:rsidR="00CE49E4" w:rsidRPr="00CE49E4">
        <w:rPr>
          <w:rtl/>
        </w:rPr>
        <w:t xml:space="preserve"> </w:t>
      </w:r>
      <w:r w:rsidR="00CE49E4">
        <w:rPr>
          <w:rFonts w:hint="cs"/>
          <w:rtl/>
        </w:rPr>
        <w:t xml:space="preserve"> </w:t>
      </w:r>
      <w:r w:rsidR="00CE49E4" w:rsidRPr="00CE49E4">
        <w:rPr>
          <w:rFonts w:ascii="David" w:hAnsi="David" w:cs="David"/>
          <w:sz w:val="24"/>
          <w:szCs w:val="24"/>
          <w:rtl/>
        </w:rPr>
        <w:t xml:space="preserve">ולא על הסך של 200,775 שח( ככל הנראה נפלה טעות קולמוס בפסק הבורר), </w:t>
      </w:r>
      <w:r w:rsidRPr="00CE49E4">
        <w:rPr>
          <w:rFonts w:ascii="David" w:hAnsi="David" w:cs="David"/>
          <w:sz w:val="24"/>
          <w:szCs w:val="24"/>
          <w:rtl/>
        </w:rPr>
        <w:t xml:space="preserve"> בעוד שה</w:t>
      </w:r>
      <w:r>
        <w:rPr>
          <w:rFonts w:ascii="David" w:hAnsi="David" w:cs="David" w:hint="cs"/>
          <w:sz w:val="24"/>
          <w:szCs w:val="24"/>
          <w:rtl/>
        </w:rPr>
        <w:t>בוררת קבעה את הסכום</w:t>
      </w:r>
      <w:r w:rsidR="00FD5643">
        <w:rPr>
          <w:rFonts w:ascii="David" w:hAnsi="David" w:cs="David" w:hint="cs"/>
          <w:sz w:val="24"/>
          <w:szCs w:val="24"/>
          <w:rtl/>
        </w:rPr>
        <w:t xml:space="preserve"> הסופי </w:t>
      </w:r>
      <w:r>
        <w:rPr>
          <w:rFonts w:ascii="David" w:hAnsi="David" w:cs="David" w:hint="cs"/>
          <w:sz w:val="24"/>
          <w:szCs w:val="24"/>
          <w:rtl/>
        </w:rPr>
        <w:t>על דרך הא</w:t>
      </w:r>
      <w:r w:rsidR="00FD5643">
        <w:rPr>
          <w:rFonts w:ascii="David" w:hAnsi="David" w:cs="David" w:hint="cs"/>
          <w:sz w:val="24"/>
          <w:szCs w:val="24"/>
          <w:rtl/>
        </w:rPr>
        <w:t>ו</w:t>
      </w:r>
      <w:r>
        <w:rPr>
          <w:rFonts w:ascii="David" w:hAnsi="David" w:cs="David" w:hint="cs"/>
          <w:sz w:val="24"/>
          <w:szCs w:val="24"/>
          <w:rtl/>
        </w:rPr>
        <w:t>מדן על הסך של 200,000 ₪.</w:t>
      </w:r>
      <w:r w:rsidR="005D4E8C" w:rsidRPr="00A511D9">
        <w:rPr>
          <w:rFonts w:ascii="David" w:hAnsi="David" w:cs="David" w:hint="cs"/>
          <w:sz w:val="24"/>
          <w:szCs w:val="24"/>
          <w:rtl/>
        </w:rPr>
        <w:t xml:space="preserve"> </w:t>
      </w:r>
    </w:p>
    <w:p w:rsidR="00482E42" w:rsidRPr="00482E42" w:rsidRDefault="00482E42" w:rsidP="002931B7">
      <w:pPr>
        <w:pStyle w:val="af"/>
        <w:spacing w:line="360" w:lineRule="auto"/>
        <w:jc w:val="both"/>
        <w:rPr>
          <w:rFonts w:ascii="David" w:hAnsi="David" w:cs="David"/>
          <w:sz w:val="24"/>
          <w:szCs w:val="24"/>
          <w:rtl/>
        </w:rPr>
      </w:pPr>
    </w:p>
    <w:p w:rsidR="00E35E6C" w:rsidRDefault="005D4E8C" w:rsidP="002931B7">
      <w:pPr>
        <w:pStyle w:val="af"/>
        <w:numPr>
          <w:ilvl w:val="0"/>
          <w:numId w:val="18"/>
        </w:numPr>
        <w:spacing w:line="360" w:lineRule="auto"/>
        <w:jc w:val="both"/>
        <w:rPr>
          <w:rFonts w:ascii="David" w:hAnsi="David" w:cs="David"/>
          <w:sz w:val="24"/>
          <w:szCs w:val="24"/>
        </w:rPr>
      </w:pPr>
      <w:r w:rsidRPr="0095703F">
        <w:rPr>
          <w:rFonts w:ascii="David" w:hAnsi="David" w:cs="David" w:hint="cs"/>
          <w:sz w:val="24"/>
          <w:szCs w:val="24"/>
          <w:rtl/>
        </w:rPr>
        <w:t xml:space="preserve">התובעים </w:t>
      </w:r>
      <w:r>
        <w:rPr>
          <w:rFonts w:ascii="David" w:hAnsi="David" w:cs="David" w:hint="cs"/>
          <w:sz w:val="24"/>
          <w:szCs w:val="24"/>
          <w:rtl/>
        </w:rPr>
        <w:t>טוענים, כי בביהמ</w:t>
      </w:r>
      <w:r w:rsidR="004C3343">
        <w:rPr>
          <w:rFonts w:ascii="David" w:hAnsi="David" w:cs="David" w:hint="cs"/>
          <w:sz w:val="24"/>
          <w:szCs w:val="24"/>
          <w:rtl/>
        </w:rPr>
        <w:t>"</w:t>
      </w:r>
      <w:r>
        <w:rPr>
          <w:rFonts w:ascii="David" w:hAnsi="David" w:cs="David" w:hint="cs"/>
          <w:sz w:val="24"/>
          <w:szCs w:val="24"/>
          <w:rtl/>
        </w:rPr>
        <w:t>ש נקבע (תוך הפניה לדיון</w:t>
      </w:r>
      <w:r w:rsidRPr="0095703F">
        <w:rPr>
          <w:rFonts w:ascii="David" w:hAnsi="David" w:cs="David" w:hint="cs"/>
          <w:sz w:val="24"/>
          <w:szCs w:val="24"/>
          <w:rtl/>
        </w:rPr>
        <w:t xml:space="preserve"> </w:t>
      </w:r>
      <w:r>
        <w:rPr>
          <w:rFonts w:ascii="David" w:hAnsi="David" w:cs="David" w:hint="cs"/>
          <w:sz w:val="24"/>
          <w:szCs w:val="24"/>
          <w:rtl/>
        </w:rPr>
        <w:t>ב</w:t>
      </w:r>
      <w:r w:rsidRPr="0095703F">
        <w:rPr>
          <w:rFonts w:ascii="David" w:hAnsi="David" w:cs="David" w:hint="cs"/>
          <w:sz w:val="24"/>
          <w:szCs w:val="24"/>
          <w:rtl/>
        </w:rPr>
        <w:t xml:space="preserve">23/10/18 </w:t>
      </w:r>
      <w:r>
        <w:rPr>
          <w:rFonts w:ascii="David" w:hAnsi="David" w:cs="David" w:hint="cs"/>
          <w:sz w:val="24"/>
          <w:szCs w:val="24"/>
          <w:rtl/>
        </w:rPr>
        <w:t xml:space="preserve">)כי: </w:t>
      </w:r>
      <w:r w:rsidRPr="0095703F">
        <w:rPr>
          <w:rFonts w:ascii="David" w:hAnsi="David" w:cs="David" w:hint="cs"/>
          <w:sz w:val="24"/>
          <w:szCs w:val="24"/>
          <w:rtl/>
        </w:rPr>
        <w:t xml:space="preserve">"ככל שהנתבע טוען להשקעות או השבחות בדירה עלי להגיש תביעה נפרדת ומפורטת בהתאם", אך תביעה זו לא הוגשה ע"י הנתבעים. </w:t>
      </w:r>
      <w:r>
        <w:rPr>
          <w:rFonts w:ascii="David" w:hAnsi="David" w:cs="David" w:hint="cs"/>
          <w:sz w:val="24"/>
          <w:szCs w:val="24"/>
          <w:rtl/>
        </w:rPr>
        <w:t xml:space="preserve">והם שאולים, </w:t>
      </w:r>
      <w:r w:rsidRPr="0095703F">
        <w:rPr>
          <w:rFonts w:ascii="David" w:hAnsi="David" w:cs="David" w:hint="cs"/>
          <w:sz w:val="24"/>
          <w:szCs w:val="24"/>
          <w:rtl/>
        </w:rPr>
        <w:t>כיצד ניתן לקבוע כי על התובעים לשאת בעלויות שיפוץ</w:t>
      </w:r>
      <w:r w:rsidR="00E35E6C">
        <w:rPr>
          <w:rFonts w:ascii="David" w:hAnsi="David" w:cs="David" w:hint="cs"/>
          <w:sz w:val="24"/>
          <w:szCs w:val="24"/>
          <w:rtl/>
        </w:rPr>
        <w:t>.</w:t>
      </w:r>
    </w:p>
    <w:p w:rsidR="00482E42" w:rsidRPr="00482E42" w:rsidRDefault="00E35E6C" w:rsidP="002931B7">
      <w:pPr>
        <w:pStyle w:val="af"/>
        <w:spacing w:line="360" w:lineRule="auto"/>
        <w:jc w:val="both"/>
        <w:rPr>
          <w:rFonts w:ascii="David" w:hAnsi="David" w:cs="David"/>
          <w:sz w:val="24"/>
          <w:szCs w:val="24"/>
          <w:rtl/>
        </w:rPr>
      </w:pPr>
      <w:r>
        <w:rPr>
          <w:rFonts w:ascii="David" w:hAnsi="David" w:cs="David" w:hint="cs"/>
          <w:sz w:val="24"/>
          <w:szCs w:val="24"/>
          <w:rtl/>
        </w:rPr>
        <w:t>אין בדי לקבל טיעון זה.</w:t>
      </w:r>
    </w:p>
    <w:p w:rsidR="002B2741" w:rsidRDefault="00E35E6C" w:rsidP="002931B7">
      <w:pPr>
        <w:pStyle w:val="af"/>
        <w:spacing w:line="360" w:lineRule="auto"/>
        <w:jc w:val="both"/>
        <w:rPr>
          <w:rFonts w:ascii="David" w:hAnsi="David" w:cs="David"/>
          <w:sz w:val="24"/>
          <w:szCs w:val="24"/>
          <w:rtl/>
        </w:rPr>
      </w:pPr>
      <w:r w:rsidRPr="00482E42">
        <w:rPr>
          <w:rFonts w:ascii="David" w:hAnsi="David" w:cs="David" w:hint="cs"/>
          <w:sz w:val="24"/>
          <w:szCs w:val="24"/>
          <w:u w:val="single"/>
          <w:rtl/>
        </w:rPr>
        <w:t>ראשית</w:t>
      </w:r>
      <w:r>
        <w:rPr>
          <w:rFonts w:ascii="David" w:hAnsi="David" w:cs="David" w:hint="cs"/>
          <w:sz w:val="24"/>
          <w:szCs w:val="24"/>
          <w:rtl/>
        </w:rPr>
        <w:t>, הטענות בענ</w:t>
      </w:r>
      <w:r w:rsidR="002B2741">
        <w:rPr>
          <w:rFonts w:ascii="David" w:hAnsi="David" w:cs="David" w:hint="cs"/>
          <w:sz w:val="24"/>
          <w:szCs w:val="24"/>
          <w:rtl/>
        </w:rPr>
        <w:t>י</w:t>
      </w:r>
      <w:r>
        <w:rPr>
          <w:rFonts w:ascii="David" w:hAnsi="David" w:cs="David" w:hint="cs"/>
          <w:sz w:val="24"/>
          <w:szCs w:val="24"/>
          <w:rtl/>
        </w:rPr>
        <w:t>ין השיפוץ וההשקעו</w:t>
      </w:r>
      <w:r w:rsidR="002B2741">
        <w:rPr>
          <w:rFonts w:ascii="David" w:hAnsi="David" w:cs="David" w:hint="cs"/>
          <w:sz w:val="24"/>
          <w:szCs w:val="24"/>
          <w:rtl/>
        </w:rPr>
        <w:t>ת</w:t>
      </w:r>
      <w:r w:rsidR="00482E42">
        <w:rPr>
          <w:rFonts w:ascii="David" w:hAnsi="David" w:cs="David" w:hint="cs"/>
          <w:sz w:val="24"/>
          <w:szCs w:val="24"/>
          <w:rtl/>
        </w:rPr>
        <w:t xml:space="preserve">  הועלו </w:t>
      </w:r>
      <w:r w:rsidR="002B2741">
        <w:rPr>
          <w:rFonts w:ascii="David" w:hAnsi="David" w:cs="David" w:hint="cs"/>
          <w:sz w:val="24"/>
          <w:szCs w:val="24"/>
          <w:rtl/>
        </w:rPr>
        <w:t>בכתב ההגנה לתביעה לפירוק שיתוף, והתביעה הועברה להכרעת הבורר.</w:t>
      </w:r>
    </w:p>
    <w:p w:rsidR="005D4E8C" w:rsidRDefault="002B2741" w:rsidP="002931B7">
      <w:pPr>
        <w:pStyle w:val="af"/>
        <w:spacing w:line="360" w:lineRule="auto"/>
        <w:jc w:val="both"/>
        <w:rPr>
          <w:rFonts w:ascii="David" w:hAnsi="David" w:cs="David"/>
          <w:sz w:val="24"/>
          <w:szCs w:val="24"/>
          <w:rtl/>
        </w:rPr>
      </w:pPr>
      <w:r w:rsidRPr="00482E42">
        <w:rPr>
          <w:rFonts w:ascii="David" w:hAnsi="David" w:cs="David" w:hint="cs"/>
          <w:sz w:val="24"/>
          <w:szCs w:val="24"/>
          <w:u w:val="single"/>
          <w:rtl/>
        </w:rPr>
        <w:t>שנית</w:t>
      </w:r>
      <w:r>
        <w:rPr>
          <w:rFonts w:ascii="David" w:hAnsi="David" w:cs="David" w:hint="cs"/>
          <w:sz w:val="24"/>
          <w:szCs w:val="24"/>
          <w:rtl/>
        </w:rPr>
        <w:t xml:space="preserve">, </w:t>
      </w:r>
      <w:r w:rsidR="005D4E8C" w:rsidRPr="0095703F">
        <w:rPr>
          <w:rFonts w:ascii="David" w:hAnsi="David" w:cs="David" w:hint="cs"/>
          <w:sz w:val="24"/>
          <w:szCs w:val="24"/>
          <w:rtl/>
        </w:rPr>
        <w:t xml:space="preserve">הוסכם בין הצדדים </w:t>
      </w:r>
      <w:r>
        <w:rPr>
          <w:rFonts w:ascii="David" w:hAnsi="David" w:cs="David" w:hint="cs"/>
          <w:sz w:val="24"/>
          <w:szCs w:val="24"/>
          <w:rtl/>
        </w:rPr>
        <w:t>במסגרת הסכם הבוררות כי לא יגישו תביעות נוספות.</w:t>
      </w:r>
    </w:p>
    <w:p w:rsidR="005D4E8C" w:rsidRDefault="002B2741" w:rsidP="002931B7">
      <w:pPr>
        <w:pStyle w:val="af"/>
        <w:spacing w:line="360" w:lineRule="auto"/>
        <w:jc w:val="both"/>
        <w:rPr>
          <w:rFonts w:ascii="David" w:hAnsi="David" w:cs="David"/>
          <w:sz w:val="24"/>
          <w:szCs w:val="24"/>
          <w:rtl/>
        </w:rPr>
      </w:pPr>
      <w:r w:rsidRPr="00482E42">
        <w:rPr>
          <w:rFonts w:ascii="David" w:hAnsi="David" w:cs="David" w:hint="cs"/>
          <w:sz w:val="24"/>
          <w:szCs w:val="24"/>
          <w:u w:val="single"/>
          <w:rtl/>
        </w:rPr>
        <w:t>שלישית</w:t>
      </w:r>
      <w:r>
        <w:rPr>
          <w:rFonts w:ascii="David" w:hAnsi="David" w:cs="David" w:hint="cs"/>
          <w:sz w:val="24"/>
          <w:szCs w:val="24"/>
          <w:rtl/>
        </w:rPr>
        <w:t xml:space="preserve">, </w:t>
      </w:r>
      <w:r w:rsidRPr="002B2741">
        <w:rPr>
          <w:rFonts w:ascii="David" w:hAnsi="David" w:cs="David" w:hint="cs"/>
          <w:sz w:val="24"/>
          <w:szCs w:val="24"/>
          <w:rtl/>
        </w:rPr>
        <w:t>ה</w:t>
      </w:r>
      <w:r w:rsidR="005D4E8C" w:rsidRPr="002B2741">
        <w:rPr>
          <w:rFonts w:ascii="David" w:hAnsi="David" w:cs="David" w:hint="cs"/>
          <w:sz w:val="24"/>
          <w:szCs w:val="24"/>
          <w:rtl/>
        </w:rPr>
        <w:t>מחל</w:t>
      </w:r>
      <w:r>
        <w:rPr>
          <w:rFonts w:ascii="David" w:hAnsi="David" w:cs="David" w:hint="cs"/>
          <w:sz w:val="24"/>
          <w:szCs w:val="24"/>
          <w:rtl/>
        </w:rPr>
        <w:t>וק</w:t>
      </w:r>
      <w:r w:rsidR="005D4E8C" w:rsidRPr="002B2741">
        <w:rPr>
          <w:rFonts w:ascii="David" w:hAnsi="David" w:cs="David" w:hint="cs"/>
          <w:sz w:val="24"/>
          <w:szCs w:val="24"/>
          <w:rtl/>
        </w:rPr>
        <w:t>ת בענ</w:t>
      </w:r>
      <w:r>
        <w:rPr>
          <w:rFonts w:ascii="David" w:hAnsi="David" w:cs="David" w:hint="cs"/>
          <w:sz w:val="24"/>
          <w:szCs w:val="24"/>
          <w:rtl/>
        </w:rPr>
        <w:t>י</w:t>
      </w:r>
      <w:r w:rsidR="005D4E8C" w:rsidRPr="002B2741">
        <w:rPr>
          <w:rFonts w:ascii="David" w:hAnsi="David" w:cs="David" w:hint="cs"/>
          <w:sz w:val="24"/>
          <w:szCs w:val="24"/>
          <w:rtl/>
        </w:rPr>
        <w:t>ין השקעות הנתבעים בנכס, היוותה פלוגתא מ</w:t>
      </w:r>
      <w:r>
        <w:rPr>
          <w:rFonts w:ascii="David" w:hAnsi="David" w:cs="David" w:hint="cs"/>
          <w:sz w:val="24"/>
          <w:szCs w:val="24"/>
          <w:rtl/>
        </w:rPr>
        <w:t>שמ</w:t>
      </w:r>
      <w:r w:rsidR="005D4E8C" w:rsidRPr="002B2741">
        <w:rPr>
          <w:rFonts w:ascii="David" w:hAnsi="David" w:cs="David" w:hint="cs"/>
          <w:sz w:val="24"/>
          <w:szCs w:val="24"/>
          <w:rtl/>
        </w:rPr>
        <w:t>ע</w:t>
      </w:r>
      <w:r>
        <w:rPr>
          <w:rFonts w:ascii="David" w:hAnsi="David" w:cs="David" w:hint="cs"/>
          <w:sz w:val="24"/>
          <w:szCs w:val="24"/>
          <w:rtl/>
        </w:rPr>
        <w:t>ו</w:t>
      </w:r>
      <w:r w:rsidR="005D4E8C" w:rsidRPr="002B2741">
        <w:rPr>
          <w:rFonts w:ascii="David" w:hAnsi="David" w:cs="David" w:hint="cs"/>
          <w:sz w:val="24"/>
          <w:szCs w:val="24"/>
          <w:rtl/>
        </w:rPr>
        <w:t>תי</w:t>
      </w:r>
      <w:r>
        <w:rPr>
          <w:rFonts w:ascii="David" w:hAnsi="David" w:cs="David" w:hint="cs"/>
          <w:sz w:val="24"/>
          <w:szCs w:val="24"/>
          <w:rtl/>
        </w:rPr>
        <w:t xml:space="preserve">ת </w:t>
      </w:r>
      <w:r w:rsidR="005D4E8C" w:rsidRPr="002B2741">
        <w:rPr>
          <w:rFonts w:ascii="David" w:hAnsi="David" w:cs="David" w:hint="cs"/>
          <w:sz w:val="24"/>
          <w:szCs w:val="24"/>
          <w:rtl/>
        </w:rPr>
        <w:t>בהליך הבוררות , שני הצדדים לרבות התובעים עצמם העלו טענותיהם לענ</w:t>
      </w:r>
      <w:r>
        <w:rPr>
          <w:rFonts w:ascii="David" w:hAnsi="David" w:cs="David" w:hint="cs"/>
          <w:sz w:val="24"/>
          <w:szCs w:val="24"/>
          <w:rtl/>
        </w:rPr>
        <w:t>י</w:t>
      </w:r>
      <w:r w:rsidR="005D4E8C" w:rsidRPr="002B2741">
        <w:rPr>
          <w:rFonts w:ascii="David" w:hAnsi="David" w:cs="David" w:hint="cs"/>
          <w:sz w:val="24"/>
          <w:szCs w:val="24"/>
          <w:rtl/>
        </w:rPr>
        <w:t xml:space="preserve">ין השקעות בנכס, </w:t>
      </w:r>
      <w:r>
        <w:rPr>
          <w:rFonts w:ascii="David" w:hAnsi="David" w:cs="David" w:hint="cs"/>
          <w:sz w:val="24"/>
          <w:szCs w:val="24"/>
          <w:rtl/>
        </w:rPr>
        <w:t xml:space="preserve">גם </w:t>
      </w:r>
      <w:r w:rsidR="005D4E8C" w:rsidRPr="002B2741">
        <w:rPr>
          <w:rFonts w:ascii="David" w:hAnsi="David" w:cs="David" w:hint="cs"/>
          <w:sz w:val="24"/>
          <w:szCs w:val="24"/>
          <w:rtl/>
        </w:rPr>
        <w:t xml:space="preserve"> בדיון בפני הבוררת מיום 2/1/19 (נספח יב ל</w:t>
      </w:r>
      <w:r>
        <w:rPr>
          <w:rFonts w:ascii="David" w:hAnsi="David" w:cs="David" w:hint="cs"/>
          <w:sz w:val="24"/>
          <w:szCs w:val="24"/>
          <w:rtl/>
        </w:rPr>
        <w:t>בקשת ביטול פסק בוררות) ב"כ התובעים</w:t>
      </w:r>
      <w:r w:rsidR="005D4E8C" w:rsidRPr="002B2741">
        <w:rPr>
          <w:rFonts w:ascii="David" w:hAnsi="David" w:cs="David" w:hint="cs"/>
          <w:sz w:val="24"/>
          <w:szCs w:val="24"/>
          <w:rtl/>
        </w:rPr>
        <w:t xml:space="preserve"> עצמו </w:t>
      </w:r>
      <w:r w:rsidR="005D4E8C" w:rsidRPr="002B2741">
        <w:rPr>
          <w:rFonts w:ascii="David" w:hAnsi="David" w:cs="David" w:hint="cs"/>
          <w:sz w:val="24"/>
          <w:szCs w:val="24"/>
          <w:rtl/>
        </w:rPr>
        <w:lastRenderedPageBreak/>
        <w:t>העלה טענות בעני</w:t>
      </w:r>
      <w:r>
        <w:rPr>
          <w:rFonts w:ascii="David" w:hAnsi="David" w:cs="David" w:hint="cs"/>
          <w:sz w:val="24"/>
          <w:szCs w:val="24"/>
          <w:rtl/>
        </w:rPr>
        <w:t>י</w:t>
      </w:r>
      <w:r w:rsidR="005D4E8C" w:rsidRPr="002B2741">
        <w:rPr>
          <w:rFonts w:ascii="David" w:hAnsi="David" w:cs="David" w:hint="cs"/>
          <w:sz w:val="24"/>
          <w:szCs w:val="24"/>
          <w:rtl/>
        </w:rPr>
        <w:t xml:space="preserve">ן זה (עמ'1שם), וגם הבוררת </w:t>
      </w:r>
      <w:r>
        <w:rPr>
          <w:rFonts w:ascii="David" w:hAnsi="David" w:cs="David" w:hint="cs"/>
          <w:sz w:val="24"/>
          <w:szCs w:val="24"/>
          <w:rtl/>
        </w:rPr>
        <w:t>קבעה בהחלטתה מאותו יום, במפורש</w:t>
      </w:r>
      <w:r w:rsidR="001D5AF7">
        <w:rPr>
          <w:rFonts w:ascii="David" w:hAnsi="David" w:cs="David" w:hint="cs"/>
          <w:sz w:val="24"/>
          <w:szCs w:val="24"/>
          <w:rtl/>
        </w:rPr>
        <w:t>:</w:t>
      </w:r>
      <w:r w:rsidR="005D4E8C" w:rsidRPr="002B2741">
        <w:rPr>
          <w:rFonts w:ascii="David" w:hAnsi="David" w:cs="David" w:hint="cs"/>
          <w:sz w:val="24"/>
          <w:szCs w:val="24"/>
          <w:rtl/>
        </w:rPr>
        <w:t xml:space="preserve"> </w:t>
      </w:r>
      <w:r w:rsidR="005D4E8C" w:rsidRPr="001D5AF7">
        <w:rPr>
          <w:rFonts w:ascii="David" w:hAnsi="David" w:cs="David" w:hint="cs"/>
          <w:b/>
          <w:bCs/>
          <w:sz w:val="24"/>
          <w:szCs w:val="24"/>
          <w:rtl/>
        </w:rPr>
        <w:t>"השמאי יבחן את כל השיפוצים וההשבחות שנעשו בנכ</w:t>
      </w:r>
      <w:r w:rsidR="001D5AF7" w:rsidRPr="001D5AF7">
        <w:rPr>
          <w:rFonts w:ascii="David" w:hAnsi="David" w:cs="David" w:hint="cs"/>
          <w:b/>
          <w:bCs/>
          <w:sz w:val="24"/>
          <w:szCs w:val="24"/>
          <w:rtl/>
        </w:rPr>
        <w:t>ס החל מיום 11/2004ועד היום...".</w:t>
      </w:r>
    </w:p>
    <w:p w:rsidR="00482E42" w:rsidRPr="00482E42" w:rsidRDefault="00482E42" w:rsidP="002931B7">
      <w:pPr>
        <w:pStyle w:val="af"/>
        <w:spacing w:line="360" w:lineRule="auto"/>
        <w:jc w:val="both"/>
        <w:rPr>
          <w:rFonts w:ascii="David" w:hAnsi="David" w:cs="David"/>
          <w:sz w:val="24"/>
          <w:szCs w:val="24"/>
        </w:rPr>
      </w:pPr>
    </w:p>
    <w:p w:rsidR="005D4E8C" w:rsidRPr="00045208" w:rsidRDefault="005D4E8C" w:rsidP="002931B7">
      <w:pPr>
        <w:pStyle w:val="af"/>
        <w:numPr>
          <w:ilvl w:val="0"/>
          <w:numId w:val="2"/>
        </w:numPr>
        <w:spacing w:line="240" w:lineRule="auto"/>
        <w:jc w:val="both"/>
        <w:rPr>
          <w:rFonts w:ascii="David" w:hAnsi="David" w:cs="David"/>
          <w:sz w:val="24"/>
          <w:szCs w:val="24"/>
          <w:rtl/>
        </w:rPr>
      </w:pPr>
      <w:r w:rsidRPr="00045208">
        <w:rPr>
          <w:rFonts w:ascii="David" w:hAnsi="David" w:cs="David" w:hint="cs"/>
          <w:sz w:val="24"/>
          <w:szCs w:val="24"/>
          <w:rtl/>
        </w:rPr>
        <w:t>לסיכום אני דוחה את טענות התובעים בענ</w:t>
      </w:r>
      <w:r w:rsidR="00482E42">
        <w:rPr>
          <w:rFonts w:ascii="David" w:hAnsi="David" w:cs="David" w:hint="cs"/>
          <w:sz w:val="24"/>
          <w:szCs w:val="24"/>
          <w:rtl/>
        </w:rPr>
        <w:t>י</w:t>
      </w:r>
      <w:r w:rsidRPr="00045208">
        <w:rPr>
          <w:rFonts w:ascii="David" w:hAnsi="David" w:cs="David" w:hint="cs"/>
          <w:sz w:val="24"/>
          <w:szCs w:val="24"/>
          <w:rtl/>
        </w:rPr>
        <w:t>ין זה.</w:t>
      </w:r>
    </w:p>
    <w:p w:rsidR="005D4E8C" w:rsidRDefault="005D4E8C" w:rsidP="002931B7">
      <w:pPr>
        <w:pStyle w:val="af"/>
        <w:spacing w:line="240" w:lineRule="auto"/>
        <w:jc w:val="both"/>
        <w:rPr>
          <w:rFonts w:ascii="David" w:hAnsi="David" w:cs="David"/>
          <w:sz w:val="24"/>
          <w:szCs w:val="24"/>
          <w:rtl/>
        </w:rPr>
      </w:pPr>
    </w:p>
    <w:p w:rsidR="005D4E8C" w:rsidRPr="0079005C" w:rsidRDefault="005D4E8C" w:rsidP="002931B7">
      <w:pPr>
        <w:spacing w:line="360" w:lineRule="auto"/>
        <w:jc w:val="both"/>
        <w:rPr>
          <w:rFonts w:ascii="David" w:hAnsi="David"/>
          <w:u w:val="single"/>
          <w:rtl/>
        </w:rPr>
      </w:pPr>
      <w:r w:rsidRPr="0079005C">
        <w:rPr>
          <w:rFonts w:ascii="David" w:hAnsi="David" w:hint="cs"/>
          <w:u w:val="single"/>
          <w:rtl/>
        </w:rPr>
        <w:t>ריבית והצמדה</w:t>
      </w:r>
    </w:p>
    <w:p w:rsidR="005D4E8C" w:rsidRDefault="001D5AF7"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 xml:space="preserve">לשיטת התובעים, </w:t>
      </w:r>
      <w:r w:rsidR="005D4E8C">
        <w:rPr>
          <w:rFonts w:ascii="David" w:hAnsi="David" w:cs="David" w:hint="cs"/>
          <w:sz w:val="24"/>
          <w:szCs w:val="24"/>
          <w:rtl/>
        </w:rPr>
        <w:t>הבוררת לא הוסיפה ריבית והצמדה כדין (מאחר וחישוב השמאות הינו נכון לשנת2016)</w:t>
      </w:r>
      <w:r>
        <w:rPr>
          <w:rFonts w:ascii="David" w:hAnsi="David" w:cs="David" w:hint="cs"/>
          <w:sz w:val="24"/>
          <w:szCs w:val="24"/>
          <w:rtl/>
        </w:rPr>
        <w:t>, ובכך ניכר ש</w:t>
      </w:r>
      <w:r w:rsidR="005D4E8C">
        <w:rPr>
          <w:rFonts w:ascii="David" w:hAnsi="David" w:cs="David" w:hint="cs"/>
          <w:sz w:val="24"/>
          <w:szCs w:val="24"/>
          <w:rtl/>
        </w:rPr>
        <w:t>פסק הבוררו</w:t>
      </w:r>
      <w:r>
        <w:rPr>
          <w:rFonts w:ascii="David" w:hAnsi="David" w:cs="David" w:hint="cs"/>
          <w:sz w:val="24"/>
          <w:szCs w:val="24"/>
          <w:rtl/>
        </w:rPr>
        <w:t>ת לוקה בחסר ומוטה לטובת המשיבים.</w:t>
      </w:r>
    </w:p>
    <w:p w:rsidR="00C53578" w:rsidRDefault="00C53578" w:rsidP="002931B7">
      <w:pPr>
        <w:pStyle w:val="af"/>
        <w:spacing w:line="360" w:lineRule="auto"/>
        <w:ind w:left="360"/>
        <w:jc w:val="both"/>
        <w:rPr>
          <w:rFonts w:ascii="David" w:hAnsi="David" w:cs="David"/>
          <w:sz w:val="24"/>
          <w:szCs w:val="24"/>
          <w:rtl/>
        </w:rPr>
      </w:pPr>
      <w:r w:rsidRPr="00C53578">
        <w:rPr>
          <w:rFonts w:ascii="David" w:hAnsi="David" w:cs="David"/>
          <w:sz w:val="24"/>
          <w:szCs w:val="24"/>
          <w:rtl/>
        </w:rPr>
        <w:t xml:space="preserve"> גם טענה זו אין מקומה בתביעה לבי</w:t>
      </w:r>
      <w:r w:rsidR="001D5AF7">
        <w:rPr>
          <w:rFonts w:ascii="David" w:hAnsi="David" w:cs="David"/>
          <w:sz w:val="24"/>
          <w:szCs w:val="24"/>
          <w:rtl/>
        </w:rPr>
        <w:t>טול פסק בורר, מדובר בטענה ערע</w:t>
      </w:r>
      <w:r w:rsidR="001D5AF7">
        <w:rPr>
          <w:rFonts w:ascii="David" w:hAnsi="David" w:cs="David" w:hint="cs"/>
          <w:sz w:val="24"/>
          <w:szCs w:val="24"/>
          <w:rtl/>
        </w:rPr>
        <w:t>ור</w:t>
      </w:r>
      <w:r w:rsidRPr="00C53578">
        <w:rPr>
          <w:rFonts w:ascii="David" w:hAnsi="David" w:cs="David"/>
          <w:sz w:val="24"/>
          <w:szCs w:val="24"/>
          <w:rtl/>
        </w:rPr>
        <w:t xml:space="preserve"> באופי</w:t>
      </w:r>
      <w:r w:rsidR="00893D05">
        <w:rPr>
          <w:rFonts w:ascii="David" w:hAnsi="David" w:cs="David" w:hint="cs"/>
          <w:sz w:val="24"/>
          <w:szCs w:val="24"/>
          <w:rtl/>
        </w:rPr>
        <w:t>י</w:t>
      </w:r>
      <w:r w:rsidRPr="00C53578">
        <w:rPr>
          <w:rFonts w:ascii="David" w:hAnsi="David" w:cs="David"/>
          <w:sz w:val="24"/>
          <w:szCs w:val="24"/>
          <w:rtl/>
        </w:rPr>
        <w:t>ה, ובכל מקרה, אין בה ללמד כלום על היות הבוררת מוטה.</w:t>
      </w:r>
    </w:p>
    <w:p w:rsidR="00C53578" w:rsidRDefault="00C53578" w:rsidP="002931B7">
      <w:pPr>
        <w:pStyle w:val="af"/>
        <w:spacing w:line="360" w:lineRule="auto"/>
        <w:ind w:left="360"/>
        <w:jc w:val="both"/>
        <w:rPr>
          <w:rFonts w:ascii="David" w:hAnsi="David" w:cs="David"/>
          <w:sz w:val="24"/>
          <w:szCs w:val="24"/>
        </w:rPr>
      </w:pPr>
      <w:r>
        <w:rPr>
          <w:rFonts w:ascii="David" w:hAnsi="David" w:cs="David" w:hint="cs"/>
          <w:sz w:val="24"/>
          <w:szCs w:val="24"/>
          <w:rtl/>
        </w:rPr>
        <w:t>מעיון בפסק הבוררת עולה כי היא התייחסה לנושא הריבית וההצמדה ולא מצאתי כי יש בכך להעיד כי היא מוטה.</w:t>
      </w:r>
    </w:p>
    <w:p w:rsidR="005D4E8C" w:rsidRDefault="005D4E8C" w:rsidP="002931B7">
      <w:pPr>
        <w:pStyle w:val="af"/>
        <w:spacing w:line="360" w:lineRule="auto"/>
        <w:jc w:val="both"/>
        <w:rPr>
          <w:rFonts w:ascii="David" w:hAnsi="David" w:cs="David"/>
          <w:sz w:val="24"/>
          <w:szCs w:val="24"/>
        </w:rPr>
      </w:pPr>
    </w:p>
    <w:p w:rsidR="00DB2395" w:rsidRPr="00C53578" w:rsidRDefault="00DB2395" w:rsidP="002931B7">
      <w:pPr>
        <w:pStyle w:val="af"/>
        <w:numPr>
          <w:ilvl w:val="0"/>
          <w:numId w:val="2"/>
        </w:numPr>
        <w:spacing w:line="360" w:lineRule="auto"/>
        <w:jc w:val="both"/>
        <w:rPr>
          <w:rFonts w:ascii="David" w:hAnsi="David" w:cs="David"/>
          <w:sz w:val="24"/>
          <w:szCs w:val="24"/>
          <w:rtl/>
        </w:rPr>
      </w:pPr>
      <w:r w:rsidRPr="00C53578">
        <w:rPr>
          <w:rFonts w:ascii="David" w:hAnsi="David" w:cs="David" w:hint="cs"/>
          <w:sz w:val="24"/>
          <w:szCs w:val="24"/>
          <w:rtl/>
        </w:rPr>
        <w:t xml:space="preserve">אציין כי </w:t>
      </w:r>
      <w:r w:rsidR="00DA7069" w:rsidRPr="00C53578">
        <w:rPr>
          <w:rFonts w:ascii="David" w:hAnsi="David" w:cs="David" w:hint="cs"/>
          <w:sz w:val="24"/>
          <w:szCs w:val="24"/>
          <w:rtl/>
        </w:rPr>
        <w:t xml:space="preserve"> בסעיף 18 לכתב התביעה לפירוק השיתוף שהגישו התובעים </w:t>
      </w:r>
      <w:r w:rsidR="00C53578">
        <w:rPr>
          <w:rFonts w:ascii="David" w:hAnsi="David" w:cs="David" w:hint="cs"/>
          <w:sz w:val="24"/>
          <w:szCs w:val="24"/>
          <w:rtl/>
        </w:rPr>
        <w:t>עתרו לפרק השיתוף בהתאם לשווי אשר</w:t>
      </w:r>
      <w:r w:rsidR="00DA7069" w:rsidRPr="00C53578">
        <w:rPr>
          <w:rFonts w:ascii="David" w:hAnsi="David" w:cs="David" w:hint="cs"/>
          <w:sz w:val="24"/>
          <w:szCs w:val="24"/>
          <w:rtl/>
        </w:rPr>
        <w:t xml:space="preserve"> קבע השמאי דותן דרעי בהתאם לחוות דעתו מיום 3/8/2016 ( 1,585,000 ₪).</w:t>
      </w:r>
    </w:p>
    <w:p w:rsidR="00C53578" w:rsidRDefault="00DA7069" w:rsidP="002931B7">
      <w:pPr>
        <w:pStyle w:val="af"/>
        <w:spacing w:line="360" w:lineRule="auto"/>
        <w:ind w:left="360"/>
        <w:jc w:val="both"/>
        <w:rPr>
          <w:rFonts w:ascii="David" w:hAnsi="David" w:cs="David"/>
          <w:sz w:val="24"/>
          <w:szCs w:val="24"/>
          <w:rtl/>
        </w:rPr>
      </w:pPr>
      <w:r>
        <w:rPr>
          <w:rFonts w:ascii="David" w:hAnsi="David" w:cs="David" w:hint="cs"/>
          <w:sz w:val="24"/>
          <w:szCs w:val="24"/>
          <w:rtl/>
        </w:rPr>
        <w:t xml:space="preserve">הצדדים </w:t>
      </w:r>
      <w:r w:rsidR="00C53578">
        <w:rPr>
          <w:rFonts w:ascii="David" w:hAnsi="David" w:cs="David" w:hint="cs"/>
          <w:sz w:val="24"/>
          <w:szCs w:val="24"/>
          <w:rtl/>
        </w:rPr>
        <w:t xml:space="preserve">היו חלוקים </w:t>
      </w:r>
      <w:r>
        <w:rPr>
          <w:rFonts w:ascii="David" w:hAnsi="David" w:cs="David" w:hint="cs"/>
          <w:sz w:val="24"/>
          <w:szCs w:val="24"/>
          <w:rtl/>
        </w:rPr>
        <w:t xml:space="preserve"> האם יש להעריך שווי הדירה נכון לשנתך 2004-מו</w:t>
      </w:r>
      <w:r w:rsidR="00C53578">
        <w:rPr>
          <w:rFonts w:ascii="David" w:hAnsi="David" w:cs="David" w:hint="cs"/>
          <w:sz w:val="24"/>
          <w:szCs w:val="24"/>
          <w:rtl/>
        </w:rPr>
        <w:t>עד המתנה (עמדת הנתבעים)או לפי חוות דעת השמאי דו</w:t>
      </w:r>
      <w:r>
        <w:rPr>
          <w:rFonts w:ascii="David" w:hAnsi="David" w:cs="David" w:hint="cs"/>
          <w:sz w:val="24"/>
          <w:szCs w:val="24"/>
          <w:rtl/>
        </w:rPr>
        <w:t>תן דרעי 2016</w:t>
      </w:r>
      <w:r w:rsidR="00C53578">
        <w:rPr>
          <w:rFonts w:ascii="David" w:hAnsi="David" w:cs="David" w:hint="cs"/>
          <w:sz w:val="24"/>
          <w:szCs w:val="24"/>
          <w:rtl/>
        </w:rPr>
        <w:t>(עמדת התובעים)</w:t>
      </w:r>
      <w:r>
        <w:rPr>
          <w:rFonts w:ascii="David" w:hAnsi="David" w:cs="David" w:hint="cs"/>
          <w:sz w:val="24"/>
          <w:szCs w:val="24"/>
          <w:rtl/>
        </w:rPr>
        <w:t>.</w:t>
      </w:r>
    </w:p>
    <w:p w:rsidR="00DA7069" w:rsidRPr="00DA7069" w:rsidRDefault="00DA7069" w:rsidP="002931B7">
      <w:pPr>
        <w:pStyle w:val="af"/>
        <w:spacing w:line="360" w:lineRule="auto"/>
        <w:ind w:left="360"/>
        <w:jc w:val="both"/>
        <w:rPr>
          <w:rFonts w:ascii="David" w:hAnsi="David" w:cs="David"/>
          <w:sz w:val="24"/>
          <w:szCs w:val="24"/>
        </w:rPr>
      </w:pPr>
      <w:r>
        <w:rPr>
          <w:rFonts w:ascii="David" w:hAnsi="David" w:cs="David" w:hint="cs"/>
          <w:sz w:val="24"/>
          <w:szCs w:val="24"/>
          <w:rtl/>
        </w:rPr>
        <w:t xml:space="preserve"> הבוררת הורתה לשמאי מטעמה להתייחס לשני המועדים</w:t>
      </w:r>
      <w:r w:rsidR="00C53578">
        <w:rPr>
          <w:rFonts w:ascii="David" w:hAnsi="David" w:cs="David" w:hint="cs"/>
          <w:sz w:val="24"/>
          <w:szCs w:val="24"/>
          <w:rtl/>
        </w:rPr>
        <w:t xml:space="preserve">, 2004- 2006 </w:t>
      </w:r>
      <w:r>
        <w:rPr>
          <w:rFonts w:ascii="David" w:hAnsi="David" w:cs="David" w:hint="cs"/>
          <w:sz w:val="24"/>
          <w:szCs w:val="24"/>
          <w:rtl/>
        </w:rPr>
        <w:t xml:space="preserve">, ובסופו של יום קיבלה את עמדת התובעים כי יש להעריך את השווי נכון לשנת 2016, אך קיבלה טענת הנתבעים כי יש להעריך הנכס כתפוס ולקזז מהשווי בגין השקעה והשבחת הנכס, והגיעה </w:t>
      </w:r>
      <w:r w:rsidR="00C53578">
        <w:rPr>
          <w:rFonts w:ascii="David" w:hAnsi="David" w:cs="David" w:hint="cs"/>
          <w:sz w:val="24"/>
          <w:szCs w:val="24"/>
          <w:rtl/>
        </w:rPr>
        <w:t>לתוצאה לפיה על הנתבעים לשלם לתובעים את הסך של 538,000 ₪.</w:t>
      </w:r>
    </w:p>
    <w:p w:rsidR="005D4E8C" w:rsidRDefault="005D4E8C" w:rsidP="002931B7">
      <w:pPr>
        <w:pStyle w:val="af"/>
        <w:spacing w:line="360" w:lineRule="auto"/>
        <w:ind w:left="360"/>
        <w:jc w:val="both"/>
        <w:rPr>
          <w:rFonts w:ascii="David" w:hAnsi="David" w:cs="David"/>
          <w:sz w:val="24"/>
          <w:szCs w:val="24"/>
          <w:rtl/>
        </w:rPr>
      </w:pPr>
      <w:r w:rsidRPr="00945E42">
        <w:rPr>
          <w:rFonts w:ascii="David" w:hAnsi="David" w:cs="David" w:hint="cs"/>
          <w:sz w:val="24"/>
          <w:szCs w:val="24"/>
          <w:rtl/>
        </w:rPr>
        <w:t xml:space="preserve">הבוררת בסוף פסק הדין קבעה ונימקה " </w:t>
      </w:r>
      <w:r w:rsidRPr="00945E42">
        <w:rPr>
          <w:rFonts w:ascii="David" w:hAnsi="David" w:cs="David" w:hint="cs"/>
          <w:b/>
          <w:bCs/>
          <w:sz w:val="24"/>
          <w:szCs w:val="24"/>
          <w:rtl/>
        </w:rPr>
        <w:t>התשלום האמור יבוצע תוך 90 ימים מיום מתן פסק בור</w:t>
      </w:r>
      <w:r w:rsidR="00945E42">
        <w:rPr>
          <w:rFonts w:ascii="David" w:hAnsi="David" w:cs="David" w:hint="cs"/>
          <w:b/>
          <w:bCs/>
          <w:sz w:val="24"/>
          <w:szCs w:val="24"/>
          <w:rtl/>
        </w:rPr>
        <w:t>רות זה ..</w:t>
      </w:r>
      <w:r w:rsidRPr="00945E42">
        <w:rPr>
          <w:rFonts w:ascii="David" w:hAnsi="David" w:cs="David" w:hint="cs"/>
          <w:b/>
          <w:bCs/>
          <w:sz w:val="24"/>
          <w:szCs w:val="24"/>
          <w:rtl/>
        </w:rPr>
        <w:t>ולא יישא הפרשי הצמדה וריבית כדין</w:t>
      </w:r>
      <w:r w:rsidRPr="00945E42">
        <w:rPr>
          <w:rFonts w:ascii="David" w:hAnsi="David" w:cs="David" w:hint="cs"/>
          <w:sz w:val="24"/>
          <w:szCs w:val="24"/>
          <w:rtl/>
        </w:rPr>
        <w:t xml:space="preserve">" . ולסיכום הוסיפה" </w:t>
      </w:r>
      <w:r w:rsidRPr="00945E42">
        <w:rPr>
          <w:rFonts w:ascii="David" w:hAnsi="David" w:cs="David" w:hint="cs"/>
          <w:b/>
          <w:bCs/>
          <w:sz w:val="24"/>
          <w:szCs w:val="24"/>
          <w:rtl/>
        </w:rPr>
        <w:t>שעה שעסקינן ביחסים מורכבים תוך המשפחה ...ובהתחשב במכלול ההליכים והסכס</w:t>
      </w:r>
      <w:r w:rsidR="00945E42" w:rsidRPr="00945E42">
        <w:rPr>
          <w:rFonts w:ascii="David" w:hAnsi="David" w:cs="David" w:hint="cs"/>
          <w:b/>
          <w:bCs/>
          <w:sz w:val="24"/>
          <w:szCs w:val="24"/>
          <w:rtl/>
        </w:rPr>
        <w:t>וכי</w:t>
      </w:r>
      <w:r w:rsidRPr="00945E42">
        <w:rPr>
          <w:rFonts w:ascii="David" w:hAnsi="David" w:cs="David" w:hint="cs"/>
          <w:b/>
          <w:bCs/>
          <w:sz w:val="24"/>
          <w:szCs w:val="24"/>
          <w:rtl/>
        </w:rPr>
        <w:t>ם הרבים אשר עברו הצדדים לאורך שנים, בסופו של יום לא מצאתי לנכון לחייב בריבית והצמדה מיום הגשת התביעה ועד ליום מתן פסק בוררות זה וכן שלא לחייב מי מהצדדים בהוצאות משפט</w:t>
      </w:r>
      <w:r w:rsidR="0079005C" w:rsidRPr="00945E42">
        <w:rPr>
          <w:rFonts w:ascii="David" w:hAnsi="David" w:cs="David" w:hint="cs"/>
          <w:b/>
          <w:bCs/>
          <w:sz w:val="24"/>
          <w:szCs w:val="24"/>
          <w:rtl/>
        </w:rPr>
        <w:t xml:space="preserve"> ושכ"ט עו"ד וכי כל צד יישא בהוצ</w:t>
      </w:r>
      <w:r w:rsidRPr="00945E42">
        <w:rPr>
          <w:rFonts w:ascii="David" w:hAnsi="David" w:cs="David" w:hint="cs"/>
          <w:b/>
          <w:bCs/>
          <w:sz w:val="24"/>
          <w:szCs w:val="24"/>
          <w:rtl/>
        </w:rPr>
        <w:t>אותיו</w:t>
      </w:r>
      <w:r w:rsidRPr="00945E42">
        <w:rPr>
          <w:rFonts w:ascii="David" w:hAnsi="David" w:cs="David" w:hint="cs"/>
          <w:sz w:val="24"/>
          <w:szCs w:val="24"/>
          <w:rtl/>
        </w:rPr>
        <w:t>".</w:t>
      </w:r>
    </w:p>
    <w:p w:rsidR="00B76A4B" w:rsidRPr="00B76A4B" w:rsidRDefault="00B76A4B" w:rsidP="002931B7">
      <w:pPr>
        <w:pStyle w:val="af"/>
        <w:spacing w:line="360" w:lineRule="auto"/>
        <w:ind w:left="360"/>
        <w:jc w:val="both"/>
        <w:rPr>
          <w:rFonts w:ascii="David" w:hAnsi="David" w:cs="David"/>
          <w:sz w:val="24"/>
          <w:szCs w:val="24"/>
        </w:rPr>
      </w:pPr>
    </w:p>
    <w:p w:rsidR="005A3919" w:rsidRDefault="001D5AF7" w:rsidP="002931B7">
      <w:pPr>
        <w:pStyle w:val="af"/>
        <w:numPr>
          <w:ilvl w:val="0"/>
          <w:numId w:val="2"/>
        </w:numPr>
        <w:spacing w:line="360" w:lineRule="auto"/>
        <w:jc w:val="both"/>
        <w:rPr>
          <w:rFonts w:ascii="David" w:hAnsi="David" w:cs="David"/>
          <w:sz w:val="24"/>
          <w:szCs w:val="24"/>
        </w:rPr>
      </w:pPr>
      <w:r w:rsidRPr="001D5AF7">
        <w:rPr>
          <w:rFonts w:ascii="David" w:hAnsi="David" w:cs="David" w:hint="cs"/>
          <w:b/>
          <w:bCs/>
          <w:sz w:val="24"/>
          <w:szCs w:val="24"/>
          <w:rtl/>
        </w:rPr>
        <w:t>לסיכום-</w:t>
      </w:r>
      <w:r>
        <w:rPr>
          <w:rFonts w:ascii="David" w:hAnsi="David" w:cs="David" w:hint="cs"/>
          <w:sz w:val="24"/>
          <w:szCs w:val="24"/>
          <w:rtl/>
        </w:rPr>
        <w:t>לאור כל האמור לעיל, אני קובעת</w:t>
      </w:r>
      <w:r w:rsidR="005D4E8C" w:rsidRPr="00BD1617">
        <w:rPr>
          <w:rFonts w:ascii="David" w:hAnsi="David" w:cs="David" w:hint="cs"/>
          <w:sz w:val="24"/>
          <w:szCs w:val="24"/>
          <w:rtl/>
        </w:rPr>
        <w:t xml:space="preserve"> כי</w:t>
      </w:r>
      <w:r>
        <w:rPr>
          <w:rFonts w:ascii="David" w:hAnsi="David" w:cs="David" w:hint="cs"/>
          <w:sz w:val="24"/>
          <w:szCs w:val="24"/>
          <w:rtl/>
        </w:rPr>
        <w:t>,</w:t>
      </w:r>
      <w:r w:rsidR="005D4E8C" w:rsidRPr="00BD1617">
        <w:rPr>
          <w:rFonts w:ascii="David" w:hAnsi="David" w:cs="David" w:hint="cs"/>
          <w:sz w:val="24"/>
          <w:szCs w:val="24"/>
          <w:rtl/>
        </w:rPr>
        <w:t xml:space="preserve"> התובעים לא הצליחו להוכיח עילה לביטול פסק בוררת לפי סעיף24 לחוק הבוררות</w:t>
      </w:r>
      <w:r w:rsidR="00376B97">
        <w:rPr>
          <w:rFonts w:ascii="David" w:hAnsi="David" w:cs="David" w:hint="cs"/>
          <w:sz w:val="24"/>
          <w:szCs w:val="24"/>
          <w:rtl/>
        </w:rPr>
        <w:t>.</w:t>
      </w:r>
    </w:p>
    <w:p w:rsidR="00376B97" w:rsidRPr="00893D05" w:rsidRDefault="00376B97" w:rsidP="002931B7">
      <w:pPr>
        <w:pStyle w:val="af"/>
        <w:spacing w:line="360" w:lineRule="auto"/>
        <w:ind w:left="360"/>
        <w:jc w:val="both"/>
        <w:rPr>
          <w:rFonts w:ascii="David" w:hAnsi="David" w:cs="David"/>
          <w:b/>
          <w:bCs/>
          <w:sz w:val="24"/>
          <w:szCs w:val="24"/>
          <w:rtl/>
        </w:rPr>
      </w:pPr>
      <w:r w:rsidRPr="00376B97">
        <w:rPr>
          <w:rFonts w:ascii="David" w:hAnsi="David" w:cs="David"/>
          <w:sz w:val="24"/>
          <w:szCs w:val="24"/>
          <w:rtl/>
        </w:rPr>
        <w:t>אוסיף ואפנה לסעיף 26 (א)לחוק הבוררות הקובע</w:t>
      </w:r>
      <w:r w:rsidRPr="00893D05">
        <w:rPr>
          <w:rFonts w:ascii="David" w:hAnsi="David" w:cs="David"/>
          <w:b/>
          <w:bCs/>
          <w:sz w:val="24"/>
          <w:szCs w:val="24"/>
          <w:rtl/>
        </w:rPr>
        <w:t>:" בית  המשפט רשאי לדחות בקשת ביטול על אף קיומה של אחת העילות האמורות בסעיף 24, אם היה סבור שלא נגרם עיוות דין</w:t>
      </w:r>
      <w:r w:rsidR="00893D05">
        <w:rPr>
          <w:rFonts w:ascii="David" w:hAnsi="David" w:cs="David" w:hint="cs"/>
          <w:b/>
          <w:bCs/>
          <w:sz w:val="24"/>
          <w:szCs w:val="24"/>
          <w:rtl/>
        </w:rPr>
        <w:t>"</w:t>
      </w:r>
      <w:r w:rsidRPr="00893D05">
        <w:rPr>
          <w:rFonts w:ascii="David" w:hAnsi="David" w:cs="David"/>
          <w:b/>
          <w:bCs/>
          <w:sz w:val="24"/>
          <w:szCs w:val="24"/>
          <w:rtl/>
        </w:rPr>
        <w:t>.</w:t>
      </w:r>
    </w:p>
    <w:p w:rsidR="00376B97" w:rsidRPr="00376B97" w:rsidRDefault="00376B97" w:rsidP="002931B7">
      <w:pPr>
        <w:pStyle w:val="af"/>
        <w:spacing w:line="360" w:lineRule="auto"/>
        <w:ind w:left="360"/>
        <w:jc w:val="both"/>
        <w:rPr>
          <w:rFonts w:ascii="David" w:hAnsi="David" w:cs="David"/>
          <w:sz w:val="24"/>
          <w:szCs w:val="24"/>
          <w:rtl/>
        </w:rPr>
      </w:pPr>
      <w:r w:rsidRPr="00376B97">
        <w:rPr>
          <w:rFonts w:ascii="David" w:hAnsi="David" w:cs="David"/>
          <w:sz w:val="24"/>
          <w:szCs w:val="24"/>
          <w:rtl/>
        </w:rPr>
        <w:t>מבלי לפגוע בכל האמור לעיל, הרי אף אם מתקיימת במקרה דנן אחת מעילות הביטול הקבועות בסעיף 24 לחוק הבוררות, הרי שלא נגרם לתובעים כל עיוות דין בנסיבות העניין. ולא שוכנעתי כי ייגרם להם עיוות דין אם ייוותר פסק הבוררות על כנו.</w:t>
      </w:r>
    </w:p>
    <w:p w:rsidR="00376B97" w:rsidRPr="005A3919" w:rsidRDefault="001D5AF7" w:rsidP="002931B7">
      <w:pPr>
        <w:pStyle w:val="af"/>
        <w:spacing w:line="360" w:lineRule="auto"/>
        <w:ind w:left="360"/>
        <w:jc w:val="both"/>
        <w:rPr>
          <w:rFonts w:ascii="David" w:hAnsi="David" w:cs="David"/>
          <w:sz w:val="24"/>
          <w:szCs w:val="24"/>
        </w:rPr>
      </w:pPr>
      <w:r>
        <w:rPr>
          <w:rFonts w:ascii="David" w:hAnsi="David" w:cs="David" w:hint="cs"/>
          <w:sz w:val="24"/>
          <w:szCs w:val="24"/>
          <w:rtl/>
        </w:rPr>
        <w:lastRenderedPageBreak/>
        <w:t>(</w:t>
      </w:r>
      <w:r w:rsidR="00376B97" w:rsidRPr="00376B97">
        <w:rPr>
          <w:rFonts w:ascii="David" w:hAnsi="David" w:cs="David"/>
          <w:sz w:val="24"/>
          <w:szCs w:val="24"/>
          <w:rtl/>
        </w:rPr>
        <w:t>ראה ברע"א 7443/12 מלכיאל שרבט נ' שלום שרבט ,סמדר אוטולנגי בוררות דין ונוהל כרך ב 1177-116</w:t>
      </w:r>
      <w:r>
        <w:rPr>
          <w:rFonts w:ascii="David" w:hAnsi="David" w:cs="David"/>
          <w:sz w:val="24"/>
          <w:szCs w:val="24"/>
          <w:rtl/>
        </w:rPr>
        <w:t>7 (מהדורה רביעית מיוחדת, 2005).</w:t>
      </w:r>
    </w:p>
    <w:p w:rsidR="005D4E8C" w:rsidRDefault="005D4E8C" w:rsidP="002931B7">
      <w:pPr>
        <w:pStyle w:val="af"/>
        <w:spacing w:line="360" w:lineRule="auto"/>
        <w:ind w:left="360"/>
        <w:jc w:val="both"/>
        <w:rPr>
          <w:rFonts w:ascii="David" w:hAnsi="David" w:cs="David"/>
          <w:sz w:val="24"/>
          <w:szCs w:val="24"/>
        </w:rPr>
      </w:pPr>
    </w:p>
    <w:p w:rsidR="005D4E8C" w:rsidRPr="005949E4" w:rsidRDefault="005D4E8C" w:rsidP="002931B7">
      <w:pPr>
        <w:spacing w:line="360" w:lineRule="auto"/>
        <w:jc w:val="both"/>
        <w:rPr>
          <w:rFonts w:ascii="David" w:hAnsi="David"/>
          <w:b/>
          <w:bCs/>
          <w:u w:val="single"/>
        </w:rPr>
      </w:pPr>
      <w:r w:rsidRPr="005949E4">
        <w:rPr>
          <w:rFonts w:ascii="David" w:hAnsi="David" w:hint="cs"/>
          <w:b/>
          <w:bCs/>
          <w:u w:val="single"/>
          <w:rtl/>
        </w:rPr>
        <w:t>פסק הבוררות אינו שלם</w:t>
      </w:r>
      <w:r>
        <w:rPr>
          <w:rFonts w:ascii="David" w:hAnsi="David" w:hint="cs"/>
          <w:b/>
          <w:bCs/>
          <w:u w:val="single"/>
          <w:rtl/>
        </w:rPr>
        <w:t>- תיקון פסק בוררות</w:t>
      </w:r>
    </w:p>
    <w:p w:rsidR="00C13EF2" w:rsidRDefault="005D4E8C"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התובעים העלו טענותיהם בעני</w:t>
      </w:r>
      <w:r w:rsidR="00F257D2">
        <w:rPr>
          <w:rFonts w:ascii="David" w:hAnsi="David" w:cs="David" w:hint="cs"/>
          <w:sz w:val="24"/>
          <w:szCs w:val="24"/>
          <w:rtl/>
        </w:rPr>
        <w:t>י</w:t>
      </w:r>
      <w:r w:rsidR="0048163C">
        <w:rPr>
          <w:rFonts w:ascii="David" w:hAnsi="David" w:cs="David" w:hint="cs"/>
          <w:sz w:val="24"/>
          <w:szCs w:val="24"/>
          <w:rtl/>
        </w:rPr>
        <w:t xml:space="preserve">ן </w:t>
      </w:r>
      <w:r w:rsidRPr="0048163C">
        <w:rPr>
          <w:rFonts w:ascii="David" w:hAnsi="David" w:cs="David" w:hint="cs"/>
          <w:sz w:val="24"/>
          <w:szCs w:val="24"/>
          <w:rtl/>
        </w:rPr>
        <w:t>זה, שוב באופן לא מסודר.</w:t>
      </w:r>
    </w:p>
    <w:p w:rsidR="005D4E8C" w:rsidRPr="00C13EF2" w:rsidRDefault="00C13EF2" w:rsidP="002931B7">
      <w:pPr>
        <w:pStyle w:val="af"/>
        <w:spacing w:line="360" w:lineRule="auto"/>
        <w:ind w:left="360"/>
        <w:jc w:val="both"/>
        <w:rPr>
          <w:rFonts w:ascii="David" w:hAnsi="David" w:cs="David"/>
          <w:sz w:val="24"/>
          <w:szCs w:val="24"/>
        </w:rPr>
      </w:pPr>
      <w:r>
        <w:rPr>
          <w:rFonts w:ascii="David" w:hAnsi="David" w:cs="David" w:hint="cs"/>
          <w:sz w:val="24"/>
          <w:szCs w:val="24"/>
          <w:rtl/>
        </w:rPr>
        <w:t>לשיטתם,</w:t>
      </w:r>
      <w:r w:rsidR="005D4E8C" w:rsidRPr="00C13EF2">
        <w:rPr>
          <w:rFonts w:ascii="David" w:hAnsi="David" w:cs="David" w:hint="cs"/>
          <w:sz w:val="24"/>
          <w:szCs w:val="24"/>
          <w:rtl/>
        </w:rPr>
        <w:t xml:space="preserve"> במידה וביהמ</w:t>
      </w:r>
      <w:r>
        <w:rPr>
          <w:rFonts w:ascii="David" w:hAnsi="David" w:cs="David" w:hint="cs"/>
          <w:sz w:val="24"/>
          <w:szCs w:val="24"/>
          <w:rtl/>
        </w:rPr>
        <w:t>"</w:t>
      </w:r>
      <w:r w:rsidR="005D4E8C" w:rsidRPr="00C13EF2">
        <w:rPr>
          <w:rFonts w:ascii="David" w:hAnsi="David" w:cs="David" w:hint="cs"/>
          <w:sz w:val="24"/>
          <w:szCs w:val="24"/>
          <w:rtl/>
        </w:rPr>
        <w:t xml:space="preserve">ש לא </w:t>
      </w:r>
      <w:r>
        <w:rPr>
          <w:rFonts w:ascii="David" w:hAnsi="David" w:cs="David" w:hint="cs"/>
          <w:sz w:val="24"/>
          <w:szCs w:val="24"/>
          <w:rtl/>
        </w:rPr>
        <w:t xml:space="preserve">יבטל את פסק הבוררות, מתבקש </w:t>
      </w:r>
      <w:r w:rsidR="005D4E8C" w:rsidRPr="00C13EF2">
        <w:rPr>
          <w:rFonts w:ascii="David" w:hAnsi="David" w:cs="David" w:hint="cs"/>
          <w:sz w:val="24"/>
          <w:szCs w:val="24"/>
          <w:rtl/>
        </w:rPr>
        <w:t xml:space="preserve"> להורות על תיקון פסק הבוררות ולקבוע מנגנון לקיום פסק הבוררות ו/או חלופה לאי קיומו; הבוררת קבעה בפסק, כי פירוק השיתוף ייעשה בדרך של פיצוי התובעים ולא בדרך של מכירה בין הצדדים או מכרה לצד</w:t>
      </w:r>
      <w:r w:rsidR="00F94A34">
        <w:rPr>
          <w:rFonts w:ascii="David" w:hAnsi="David" w:cs="David" w:hint="cs"/>
          <w:sz w:val="24"/>
          <w:szCs w:val="24"/>
          <w:rtl/>
        </w:rPr>
        <w:t xml:space="preserve"> </w:t>
      </w:r>
      <w:r w:rsidR="005D4E8C" w:rsidRPr="00C13EF2">
        <w:rPr>
          <w:rFonts w:ascii="David" w:hAnsi="David" w:cs="David" w:hint="cs"/>
          <w:sz w:val="24"/>
          <w:szCs w:val="24"/>
          <w:rtl/>
        </w:rPr>
        <w:t>ג' כנדרש בכתב התביעה, אולם לא נקבע מנגנון במידה והנתבעים לא יקיימו את פסק הבוררות ולא ישלמו את התשלום. למיטב ידיעתם, כנגד הנתבע ישנן תביעות והליכי הוצאה לפועל ו</w:t>
      </w:r>
      <w:r>
        <w:rPr>
          <w:rFonts w:ascii="David" w:hAnsi="David" w:cs="David" w:hint="cs"/>
          <w:sz w:val="24"/>
          <w:szCs w:val="24"/>
          <w:rtl/>
        </w:rPr>
        <w:t>חובות רבים, כך ש</w:t>
      </w:r>
      <w:r w:rsidR="005D4E8C" w:rsidRPr="00C13EF2">
        <w:rPr>
          <w:rFonts w:ascii="David" w:hAnsi="David" w:cs="David" w:hint="cs"/>
          <w:sz w:val="24"/>
          <w:szCs w:val="24"/>
          <w:rtl/>
        </w:rPr>
        <w:t>ספק רב אם יוכל לעמוד בתנאי התשלום וגובה התשלום שפסקה הבוררת</w:t>
      </w:r>
      <w:r>
        <w:rPr>
          <w:rFonts w:ascii="David" w:hAnsi="David" w:cs="David" w:hint="cs"/>
          <w:sz w:val="24"/>
          <w:szCs w:val="24"/>
          <w:rtl/>
        </w:rPr>
        <w:t>.</w:t>
      </w:r>
      <w:r w:rsidR="005D4E8C" w:rsidRPr="00C13EF2">
        <w:rPr>
          <w:rFonts w:ascii="David" w:hAnsi="David" w:cs="David" w:hint="cs"/>
          <w:sz w:val="24"/>
          <w:szCs w:val="24"/>
          <w:rtl/>
        </w:rPr>
        <w:t xml:space="preserve"> </w:t>
      </w:r>
    </w:p>
    <w:p w:rsidR="005D4E8C" w:rsidRPr="0077020D" w:rsidRDefault="005D4E8C" w:rsidP="002931B7">
      <w:pPr>
        <w:pStyle w:val="af"/>
        <w:jc w:val="both"/>
        <w:rPr>
          <w:rFonts w:ascii="David" w:hAnsi="David" w:cs="David"/>
          <w:sz w:val="24"/>
          <w:szCs w:val="24"/>
          <w:rtl/>
        </w:rPr>
      </w:pPr>
    </w:p>
    <w:p w:rsidR="007D6397" w:rsidRDefault="005D4E8C"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לענ</w:t>
      </w:r>
      <w:r w:rsidR="00F94A34">
        <w:rPr>
          <w:rFonts w:ascii="David" w:hAnsi="David" w:cs="David" w:hint="cs"/>
          <w:sz w:val="24"/>
          <w:szCs w:val="24"/>
          <w:rtl/>
        </w:rPr>
        <w:t>י</w:t>
      </w:r>
      <w:r>
        <w:rPr>
          <w:rFonts w:ascii="David" w:hAnsi="David" w:cs="David" w:hint="cs"/>
          <w:sz w:val="24"/>
          <w:szCs w:val="24"/>
          <w:rtl/>
        </w:rPr>
        <w:t xml:space="preserve">ין </w:t>
      </w:r>
      <w:r w:rsidRPr="00B95255">
        <w:rPr>
          <w:rFonts w:ascii="David" w:hAnsi="David" w:cs="David" w:hint="cs"/>
          <w:sz w:val="24"/>
          <w:szCs w:val="24"/>
          <w:rtl/>
        </w:rPr>
        <w:t>תיקון פסק בוררות, סעיף22 לחוק הבוררת קובע לאמור</w:t>
      </w:r>
      <w:r>
        <w:rPr>
          <w:rFonts w:ascii="David" w:hAnsi="David" w:cs="David" w:hint="cs"/>
          <w:sz w:val="24"/>
          <w:szCs w:val="24"/>
          <w:rtl/>
        </w:rPr>
        <w:t>:</w:t>
      </w:r>
    </w:p>
    <w:p w:rsidR="005D4E8C" w:rsidRPr="00F94A34" w:rsidRDefault="007D6397" w:rsidP="002931B7">
      <w:pPr>
        <w:pStyle w:val="af"/>
        <w:spacing w:line="360" w:lineRule="auto"/>
        <w:ind w:left="360"/>
        <w:jc w:val="both"/>
        <w:rPr>
          <w:rFonts w:ascii="David" w:hAnsi="David" w:cs="David"/>
          <w:sz w:val="24"/>
          <w:szCs w:val="24"/>
          <w:rtl/>
        </w:rPr>
      </w:pPr>
      <w:r w:rsidRPr="007D6397">
        <w:rPr>
          <w:rFonts w:ascii="David" w:hAnsi="David" w:cs="David" w:hint="cs"/>
          <w:b/>
          <w:bCs/>
          <w:sz w:val="24"/>
          <w:szCs w:val="24"/>
          <w:rtl/>
        </w:rPr>
        <w:t>22</w:t>
      </w:r>
      <w:r w:rsidR="005D4E8C" w:rsidRPr="00F94A34">
        <w:rPr>
          <w:rFonts w:ascii="David" w:hAnsi="David" w:cs="David"/>
          <w:b/>
          <w:bCs/>
          <w:sz w:val="24"/>
          <w:szCs w:val="24"/>
          <w:rtl/>
        </w:rPr>
        <w:t>.(א)הבורר רשאי, על פי פניית בעל-דין ולאחר שניתנה לבעלי-הדין האחרים הזדמנות נאותה לטעון טענותיהם, לתקן או להשלים את פסק הבוררות, אם היה לקוי באחד מאלה:</w:t>
      </w:r>
    </w:p>
    <w:p w:rsidR="005D4E8C" w:rsidRPr="00F94A34" w:rsidRDefault="005D4E8C" w:rsidP="002931B7">
      <w:pPr>
        <w:spacing w:line="360" w:lineRule="auto"/>
        <w:ind w:left="720"/>
        <w:jc w:val="both"/>
        <w:rPr>
          <w:rFonts w:ascii="David" w:hAnsi="David"/>
          <w:b/>
          <w:bCs/>
          <w:rtl/>
        </w:rPr>
      </w:pPr>
      <w:r w:rsidRPr="00F94A34">
        <w:rPr>
          <w:rFonts w:ascii="David" w:hAnsi="David"/>
          <w:b/>
          <w:bCs/>
          <w:rtl/>
        </w:rPr>
        <w:t>(1)נפלה בפסק טעות סופר, פליטת קולמוס, השמטה, טעות בתיאור אדם או נכס, בתאריך, במספר, בחישוב וכיוצא באלה;</w:t>
      </w:r>
    </w:p>
    <w:p w:rsidR="005D4E8C" w:rsidRPr="00B95255" w:rsidRDefault="005D4E8C" w:rsidP="002931B7">
      <w:pPr>
        <w:spacing w:line="360" w:lineRule="auto"/>
        <w:ind w:firstLine="720"/>
        <w:jc w:val="both"/>
        <w:rPr>
          <w:rFonts w:ascii="David" w:hAnsi="David"/>
          <w:b/>
          <w:bCs/>
          <w:rtl/>
        </w:rPr>
      </w:pPr>
      <w:r w:rsidRPr="00B95255">
        <w:rPr>
          <w:rFonts w:ascii="David" w:hAnsi="David"/>
          <w:b/>
          <w:bCs/>
          <w:rtl/>
        </w:rPr>
        <w:t>(2)הפסק לקוי בענין שאינו נוגע לגוף הסכסוך;</w:t>
      </w:r>
    </w:p>
    <w:p w:rsidR="005D4E8C" w:rsidRPr="00B95255" w:rsidRDefault="005D4E8C" w:rsidP="002931B7">
      <w:pPr>
        <w:spacing w:line="360" w:lineRule="auto"/>
        <w:ind w:firstLine="720"/>
        <w:jc w:val="both"/>
        <w:rPr>
          <w:rFonts w:ascii="David" w:hAnsi="David"/>
          <w:b/>
          <w:bCs/>
          <w:rtl/>
        </w:rPr>
      </w:pPr>
      <w:r w:rsidRPr="00B95255">
        <w:rPr>
          <w:rFonts w:ascii="David" w:hAnsi="David"/>
          <w:b/>
          <w:bCs/>
          <w:rtl/>
        </w:rPr>
        <w:t>(3)אין בפסק הוראה בדבר תשלום ריבית;</w:t>
      </w:r>
    </w:p>
    <w:p w:rsidR="005D4E8C" w:rsidRDefault="005D4E8C" w:rsidP="002931B7">
      <w:pPr>
        <w:spacing w:line="360" w:lineRule="auto"/>
        <w:ind w:firstLine="720"/>
        <w:jc w:val="both"/>
        <w:rPr>
          <w:rFonts w:ascii="David" w:hAnsi="David"/>
          <w:b/>
          <w:bCs/>
          <w:rtl/>
        </w:rPr>
      </w:pPr>
      <w:r w:rsidRPr="00B95255">
        <w:rPr>
          <w:rFonts w:ascii="David" w:hAnsi="David"/>
          <w:b/>
          <w:bCs/>
          <w:rtl/>
        </w:rPr>
        <w:t>(4)אין בפסק הוראה בדבר הוצאות הצדדים, לרבות שכר טרחת עורך-דין.</w:t>
      </w:r>
    </w:p>
    <w:p w:rsidR="00BE0052" w:rsidRPr="00B95255" w:rsidRDefault="00BE0052" w:rsidP="002931B7">
      <w:pPr>
        <w:spacing w:line="360" w:lineRule="auto"/>
        <w:ind w:firstLine="720"/>
        <w:jc w:val="both"/>
        <w:rPr>
          <w:rFonts w:ascii="David" w:hAnsi="David"/>
          <w:b/>
          <w:bCs/>
          <w:rtl/>
        </w:rPr>
      </w:pPr>
    </w:p>
    <w:p w:rsidR="00376B97" w:rsidRDefault="005D4E8C"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אני דוחה טענות אלה של התובעים. לדעתי אין מקום ל"תקן" פסק בורר בדרך קביעת מנג</w:t>
      </w:r>
      <w:r w:rsidR="00376B97">
        <w:rPr>
          <w:rFonts w:ascii="David" w:hAnsi="David" w:cs="David" w:hint="cs"/>
          <w:sz w:val="24"/>
          <w:szCs w:val="24"/>
          <w:rtl/>
        </w:rPr>
        <w:t>נ</w:t>
      </w:r>
      <w:r>
        <w:rPr>
          <w:rFonts w:ascii="David" w:hAnsi="David" w:cs="David" w:hint="cs"/>
          <w:sz w:val="24"/>
          <w:szCs w:val="24"/>
          <w:rtl/>
        </w:rPr>
        <w:t>ון להבטחת קיום פסק בוררת</w:t>
      </w:r>
      <w:r w:rsidRPr="00B477F9">
        <w:rPr>
          <w:rFonts w:ascii="David" w:hAnsi="David" w:cs="David" w:hint="cs"/>
          <w:sz w:val="24"/>
          <w:szCs w:val="24"/>
          <w:rtl/>
        </w:rPr>
        <w:t>.</w:t>
      </w:r>
      <w:r w:rsidR="00376B97">
        <w:rPr>
          <w:rFonts w:ascii="David" w:hAnsi="David" w:cs="David" w:hint="cs"/>
          <w:sz w:val="24"/>
          <w:szCs w:val="24"/>
          <w:rtl/>
        </w:rPr>
        <w:t xml:space="preserve"> </w:t>
      </w:r>
      <w:r w:rsidR="00F94A34">
        <w:rPr>
          <w:rFonts w:ascii="David" w:hAnsi="David" w:cs="David" w:hint="cs"/>
          <w:sz w:val="24"/>
          <w:szCs w:val="24"/>
          <w:rtl/>
        </w:rPr>
        <w:t>פסק הבורר קובע</w:t>
      </w:r>
      <w:r w:rsidR="00C13EF2">
        <w:rPr>
          <w:rFonts w:ascii="David" w:hAnsi="David" w:cs="David" w:hint="cs"/>
          <w:sz w:val="24"/>
          <w:szCs w:val="24"/>
          <w:rtl/>
        </w:rPr>
        <w:t xml:space="preserve"> פ</w:t>
      </w:r>
      <w:r w:rsidR="00376B97">
        <w:rPr>
          <w:rFonts w:ascii="David" w:hAnsi="David" w:cs="David" w:hint="cs"/>
          <w:sz w:val="24"/>
          <w:szCs w:val="24"/>
          <w:rtl/>
        </w:rPr>
        <w:t>יצוי כספי וניתן לאכוף</w:t>
      </w:r>
      <w:r w:rsidR="00F94A34">
        <w:rPr>
          <w:rFonts w:ascii="David" w:hAnsi="David" w:cs="David" w:hint="cs"/>
          <w:sz w:val="24"/>
          <w:szCs w:val="24"/>
          <w:rtl/>
        </w:rPr>
        <w:t xml:space="preserve"> </w:t>
      </w:r>
      <w:r w:rsidR="00376B97">
        <w:rPr>
          <w:rFonts w:ascii="David" w:hAnsi="David" w:cs="David" w:hint="cs"/>
          <w:sz w:val="24"/>
          <w:szCs w:val="24"/>
          <w:rtl/>
        </w:rPr>
        <w:t xml:space="preserve">אותו </w:t>
      </w:r>
      <w:r w:rsidR="00C13EF2">
        <w:rPr>
          <w:rFonts w:ascii="David" w:hAnsi="David" w:cs="David" w:hint="cs"/>
          <w:sz w:val="24"/>
          <w:szCs w:val="24"/>
          <w:rtl/>
        </w:rPr>
        <w:t>באמצעות ר</w:t>
      </w:r>
      <w:r w:rsidR="00376B97">
        <w:rPr>
          <w:rFonts w:ascii="David" w:hAnsi="David" w:cs="David" w:hint="cs"/>
          <w:sz w:val="24"/>
          <w:szCs w:val="24"/>
          <w:rtl/>
        </w:rPr>
        <w:t>שות האכיפה והגביה.</w:t>
      </w:r>
    </w:p>
    <w:p w:rsidR="005D4E8C" w:rsidRDefault="005D4E8C" w:rsidP="002931B7">
      <w:pPr>
        <w:pStyle w:val="af"/>
        <w:spacing w:line="360" w:lineRule="auto"/>
        <w:ind w:left="360"/>
        <w:jc w:val="both"/>
        <w:rPr>
          <w:rFonts w:ascii="David" w:hAnsi="David" w:cs="David"/>
          <w:sz w:val="24"/>
          <w:szCs w:val="24"/>
          <w:rtl/>
        </w:rPr>
      </w:pPr>
      <w:r w:rsidRPr="00B477F9">
        <w:rPr>
          <w:rFonts w:ascii="David" w:hAnsi="David" w:cs="David" w:hint="cs"/>
          <w:sz w:val="24"/>
          <w:szCs w:val="24"/>
          <w:rtl/>
        </w:rPr>
        <w:t xml:space="preserve"> למעלה מן הנדרש, ולגופם של דברים, אציין כי התובעים לא הוכיחו כי לנתבע קושי בתשלום הסכום שנפסק</w:t>
      </w:r>
      <w:r w:rsidR="00376B97">
        <w:rPr>
          <w:rFonts w:ascii="David" w:hAnsi="David" w:cs="David" w:hint="cs"/>
          <w:sz w:val="24"/>
          <w:szCs w:val="24"/>
          <w:rtl/>
        </w:rPr>
        <w:t>,</w:t>
      </w:r>
      <w:r w:rsidRPr="00B477F9">
        <w:rPr>
          <w:rFonts w:ascii="David" w:hAnsi="David" w:cs="David" w:hint="cs"/>
          <w:sz w:val="24"/>
          <w:szCs w:val="24"/>
          <w:rtl/>
        </w:rPr>
        <w:t xml:space="preserve"> משלא הביאו ראיות מוצקות בעני</w:t>
      </w:r>
      <w:r w:rsidR="00376B97">
        <w:rPr>
          <w:rFonts w:ascii="David" w:hAnsi="David" w:cs="David" w:hint="cs"/>
          <w:sz w:val="24"/>
          <w:szCs w:val="24"/>
          <w:rtl/>
        </w:rPr>
        <w:t>י</w:t>
      </w:r>
      <w:r w:rsidRPr="00B477F9">
        <w:rPr>
          <w:rFonts w:ascii="David" w:hAnsi="David" w:cs="David" w:hint="cs"/>
          <w:sz w:val="24"/>
          <w:szCs w:val="24"/>
          <w:rtl/>
        </w:rPr>
        <w:t xml:space="preserve">ן זה, זאת </w:t>
      </w:r>
      <w:r>
        <w:rPr>
          <w:rFonts w:ascii="David" w:hAnsi="David" w:cs="David" w:hint="cs"/>
          <w:sz w:val="24"/>
          <w:szCs w:val="24"/>
          <w:rtl/>
        </w:rPr>
        <w:t xml:space="preserve">מאידך </w:t>
      </w:r>
      <w:r w:rsidRPr="00B477F9">
        <w:rPr>
          <w:rFonts w:ascii="David" w:hAnsi="David" w:cs="David" w:hint="cs"/>
          <w:sz w:val="24"/>
          <w:szCs w:val="24"/>
          <w:rtl/>
        </w:rPr>
        <w:t>בשים לב לעמדת הנתבע</w:t>
      </w:r>
      <w:r w:rsidR="00F94A34">
        <w:rPr>
          <w:rFonts w:ascii="David" w:hAnsi="David" w:cs="David" w:hint="cs"/>
          <w:sz w:val="24"/>
          <w:szCs w:val="24"/>
          <w:rtl/>
        </w:rPr>
        <w:t>ים</w:t>
      </w:r>
      <w:r w:rsidRPr="00B477F9">
        <w:rPr>
          <w:rFonts w:ascii="David" w:hAnsi="David" w:cs="David" w:hint="cs"/>
          <w:sz w:val="24"/>
          <w:szCs w:val="24"/>
          <w:rtl/>
        </w:rPr>
        <w:t xml:space="preserve"> לפיה, מלוא הסכום עומד לרשות התובעים</w:t>
      </w:r>
      <w:r w:rsidR="00376B97">
        <w:rPr>
          <w:rFonts w:ascii="David" w:hAnsi="David" w:cs="David" w:hint="cs"/>
          <w:sz w:val="24"/>
          <w:szCs w:val="24"/>
          <w:rtl/>
        </w:rPr>
        <w:t xml:space="preserve"> זה </w:t>
      </w:r>
      <w:r w:rsidRPr="00B477F9">
        <w:rPr>
          <w:rFonts w:ascii="David" w:hAnsi="David" w:cs="David" w:hint="cs"/>
          <w:sz w:val="24"/>
          <w:szCs w:val="24"/>
          <w:rtl/>
        </w:rPr>
        <w:t xml:space="preserve"> מכ</w:t>
      </w:r>
      <w:r w:rsidR="00F94A34">
        <w:rPr>
          <w:rFonts w:ascii="David" w:hAnsi="David" w:cs="David" w:hint="cs"/>
          <w:sz w:val="24"/>
          <w:szCs w:val="24"/>
          <w:rtl/>
        </w:rPr>
        <w:t>בר</w:t>
      </w:r>
      <w:r w:rsidR="00BE0052">
        <w:rPr>
          <w:rFonts w:ascii="David" w:hAnsi="David" w:cs="David" w:hint="cs"/>
          <w:sz w:val="24"/>
          <w:szCs w:val="24"/>
          <w:rtl/>
        </w:rPr>
        <w:t>.</w:t>
      </w:r>
      <w:r w:rsidR="00F94A34">
        <w:rPr>
          <w:rFonts w:ascii="David" w:hAnsi="David" w:cs="David" w:hint="cs"/>
          <w:sz w:val="24"/>
          <w:szCs w:val="24"/>
          <w:rtl/>
        </w:rPr>
        <w:t xml:space="preserve"> </w:t>
      </w:r>
    </w:p>
    <w:p w:rsidR="00376B97" w:rsidRPr="0014309A" w:rsidRDefault="00376B97" w:rsidP="002931B7">
      <w:pPr>
        <w:pStyle w:val="af"/>
        <w:spacing w:line="360" w:lineRule="auto"/>
        <w:ind w:left="360"/>
        <w:jc w:val="both"/>
        <w:rPr>
          <w:rFonts w:ascii="David" w:hAnsi="David" w:cs="David"/>
          <w:sz w:val="24"/>
          <w:szCs w:val="24"/>
          <w:rtl/>
        </w:rPr>
      </w:pPr>
    </w:p>
    <w:p w:rsidR="00376B97" w:rsidRDefault="00376B97" w:rsidP="002931B7">
      <w:pPr>
        <w:pStyle w:val="af"/>
        <w:numPr>
          <w:ilvl w:val="0"/>
          <w:numId w:val="2"/>
        </w:numPr>
        <w:spacing w:line="360" w:lineRule="auto"/>
        <w:jc w:val="both"/>
        <w:rPr>
          <w:rFonts w:ascii="David" w:hAnsi="David" w:cs="David"/>
          <w:sz w:val="24"/>
          <w:szCs w:val="24"/>
        </w:rPr>
      </w:pPr>
      <w:r w:rsidRPr="00376B97">
        <w:rPr>
          <w:rFonts w:ascii="David" w:hAnsi="David" w:cs="David"/>
          <w:sz w:val="24"/>
          <w:szCs w:val="24"/>
          <w:rtl/>
        </w:rPr>
        <w:t>אני דוחה</w:t>
      </w:r>
      <w:r>
        <w:rPr>
          <w:rFonts w:ascii="David" w:hAnsi="David" w:cs="David" w:hint="cs"/>
          <w:sz w:val="24"/>
          <w:szCs w:val="24"/>
          <w:rtl/>
        </w:rPr>
        <w:t xml:space="preserve"> גם </w:t>
      </w:r>
      <w:r w:rsidRPr="00376B97">
        <w:rPr>
          <w:rFonts w:ascii="David" w:hAnsi="David" w:cs="David"/>
          <w:sz w:val="24"/>
          <w:szCs w:val="24"/>
          <w:rtl/>
        </w:rPr>
        <w:t xml:space="preserve"> טענת התובעים כי </w:t>
      </w:r>
      <w:r w:rsidR="00BE0052">
        <w:rPr>
          <w:rFonts w:ascii="David" w:hAnsi="David" w:cs="David"/>
          <w:sz w:val="24"/>
          <w:szCs w:val="24"/>
          <w:rtl/>
        </w:rPr>
        <w:t>הבוררת פסקה בניגוד" לדין המהותי</w:t>
      </w:r>
      <w:r w:rsidR="00BE0052">
        <w:rPr>
          <w:rFonts w:ascii="David" w:hAnsi="David" w:cs="David" w:hint="cs"/>
          <w:sz w:val="24"/>
          <w:szCs w:val="24"/>
          <w:rtl/>
        </w:rPr>
        <w:t>.</w:t>
      </w:r>
      <w:r w:rsidRPr="00376B97">
        <w:rPr>
          <w:rFonts w:ascii="David" w:hAnsi="David" w:cs="David"/>
          <w:sz w:val="24"/>
          <w:szCs w:val="24"/>
          <w:rtl/>
        </w:rPr>
        <w:t>כאמור, הצדדים הגיעו להסכמות שקבלו תוקף של פסק דין ב12/11/18, כי הבוררת תהיה משוחררת מהדין המהותי</w:t>
      </w:r>
      <w:r>
        <w:rPr>
          <w:rFonts w:ascii="David" w:hAnsi="David" w:cs="David" w:hint="cs"/>
          <w:sz w:val="24"/>
          <w:szCs w:val="24"/>
          <w:rtl/>
        </w:rPr>
        <w:t>.</w:t>
      </w:r>
    </w:p>
    <w:p w:rsidR="00376B97" w:rsidRDefault="00376B97" w:rsidP="002931B7">
      <w:pPr>
        <w:pStyle w:val="af"/>
        <w:spacing w:line="360" w:lineRule="auto"/>
        <w:ind w:left="360"/>
        <w:jc w:val="both"/>
        <w:rPr>
          <w:rFonts w:ascii="David" w:hAnsi="David" w:cs="David"/>
          <w:sz w:val="24"/>
          <w:szCs w:val="24"/>
        </w:rPr>
      </w:pPr>
    </w:p>
    <w:p w:rsidR="005D4E8C" w:rsidRDefault="00376B97"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הערה דיונית - </w:t>
      </w:r>
      <w:r w:rsidR="005D4E8C">
        <w:rPr>
          <w:rFonts w:ascii="David" w:hAnsi="David" w:cs="David" w:hint="cs"/>
          <w:sz w:val="24"/>
          <w:szCs w:val="24"/>
          <w:rtl/>
        </w:rPr>
        <w:t>במסגרת תביעה לביטול פסק בוררות, העלו התובעים טענות בענ</w:t>
      </w:r>
      <w:r>
        <w:rPr>
          <w:rFonts w:ascii="David" w:hAnsi="David" w:cs="David" w:hint="cs"/>
          <w:sz w:val="24"/>
          <w:szCs w:val="24"/>
          <w:rtl/>
        </w:rPr>
        <w:t>י</w:t>
      </w:r>
      <w:r w:rsidR="005D4E8C">
        <w:rPr>
          <w:rFonts w:ascii="David" w:hAnsi="David" w:cs="David" w:hint="cs"/>
          <w:sz w:val="24"/>
          <w:szCs w:val="24"/>
          <w:rtl/>
        </w:rPr>
        <w:t>ין התנהלות הבוררת כמוטה לצד הנתבעים</w:t>
      </w:r>
      <w:r w:rsidR="0014309A">
        <w:rPr>
          <w:rFonts w:ascii="David" w:hAnsi="David" w:cs="David" w:hint="cs"/>
          <w:sz w:val="24"/>
          <w:szCs w:val="24"/>
          <w:rtl/>
        </w:rPr>
        <w:t>,</w:t>
      </w:r>
      <w:r w:rsidR="005D4E8C">
        <w:rPr>
          <w:rFonts w:ascii="David" w:hAnsi="David" w:cs="David" w:hint="cs"/>
          <w:sz w:val="24"/>
          <w:szCs w:val="24"/>
          <w:rtl/>
        </w:rPr>
        <w:t xml:space="preserve"> אתייחס לכך בהמשך .</w:t>
      </w:r>
    </w:p>
    <w:p w:rsidR="005D4E8C" w:rsidRDefault="005D4E8C" w:rsidP="002931B7">
      <w:pPr>
        <w:pStyle w:val="af"/>
        <w:spacing w:line="360" w:lineRule="auto"/>
        <w:jc w:val="both"/>
        <w:rPr>
          <w:rFonts w:ascii="David" w:hAnsi="David" w:cs="David"/>
          <w:sz w:val="24"/>
          <w:szCs w:val="24"/>
        </w:rPr>
      </w:pPr>
    </w:p>
    <w:p w:rsidR="00BE0052" w:rsidRDefault="00376B97" w:rsidP="002931B7">
      <w:pPr>
        <w:spacing w:line="360" w:lineRule="auto"/>
        <w:jc w:val="both"/>
        <w:rPr>
          <w:rFonts w:ascii="David" w:hAnsi="David"/>
          <w:b/>
          <w:bCs/>
          <w:u w:val="single"/>
          <w:rtl/>
        </w:rPr>
      </w:pPr>
      <w:r>
        <w:rPr>
          <w:rFonts w:ascii="David" w:hAnsi="David" w:hint="cs"/>
          <w:b/>
          <w:bCs/>
          <w:u w:val="single"/>
          <w:rtl/>
        </w:rPr>
        <w:lastRenderedPageBreak/>
        <w:t xml:space="preserve">סוף דבר  </w:t>
      </w:r>
      <w:r w:rsidR="005D4E8C" w:rsidRPr="003E4BB6">
        <w:rPr>
          <w:rFonts w:ascii="David" w:hAnsi="David" w:hint="cs"/>
          <w:b/>
          <w:bCs/>
          <w:u w:val="single"/>
          <w:rtl/>
        </w:rPr>
        <w:t>-</w:t>
      </w:r>
    </w:p>
    <w:p w:rsidR="005D4E8C" w:rsidRPr="00BE0052" w:rsidRDefault="005D4E8C" w:rsidP="002931B7">
      <w:pPr>
        <w:spacing w:line="360" w:lineRule="auto"/>
        <w:jc w:val="both"/>
        <w:rPr>
          <w:rFonts w:ascii="David" w:hAnsi="David"/>
        </w:rPr>
      </w:pPr>
      <w:r w:rsidRPr="00BE0052">
        <w:rPr>
          <w:rFonts w:ascii="David" w:hAnsi="David" w:hint="cs"/>
          <w:rtl/>
        </w:rPr>
        <w:t>תביעה לביטול פסק בורר</w:t>
      </w:r>
    </w:p>
    <w:p w:rsidR="00376B97" w:rsidRDefault="005D4E8C"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לאור כל האמור לעיל אני קובעת, כי התובעים לא הצליחו להוכיח עילה לביטול פסק בוררות לפי סעיף 24 לחוק הבוררות. אשר על כן אני דוחה את התביעה בתיק 42451-06-20.</w:t>
      </w:r>
    </w:p>
    <w:p w:rsidR="005D4E8C" w:rsidRDefault="005D4E8C" w:rsidP="002931B7">
      <w:pPr>
        <w:pStyle w:val="af"/>
        <w:spacing w:line="360" w:lineRule="auto"/>
        <w:ind w:left="360"/>
        <w:jc w:val="both"/>
        <w:rPr>
          <w:rFonts w:ascii="David" w:hAnsi="David" w:cs="David"/>
          <w:sz w:val="24"/>
          <w:szCs w:val="24"/>
        </w:rPr>
      </w:pPr>
      <w:r>
        <w:rPr>
          <w:rFonts w:ascii="David" w:hAnsi="David" w:cs="David" w:hint="cs"/>
          <w:sz w:val="24"/>
          <w:szCs w:val="24"/>
          <w:rtl/>
        </w:rPr>
        <w:t xml:space="preserve"> </w:t>
      </w:r>
    </w:p>
    <w:p w:rsidR="005D4E8C" w:rsidRDefault="005D4E8C" w:rsidP="002931B7">
      <w:pPr>
        <w:pStyle w:val="af"/>
        <w:spacing w:line="240" w:lineRule="auto"/>
        <w:jc w:val="both"/>
        <w:rPr>
          <w:rFonts w:ascii="David" w:hAnsi="David" w:cs="David"/>
          <w:sz w:val="24"/>
          <w:szCs w:val="24"/>
        </w:rPr>
      </w:pPr>
    </w:p>
    <w:p w:rsidR="007D6397" w:rsidRPr="007D6397" w:rsidRDefault="005D4E8C" w:rsidP="002931B7">
      <w:pPr>
        <w:jc w:val="both"/>
        <w:rPr>
          <w:rFonts w:ascii="David" w:hAnsi="David"/>
          <w:sz w:val="32"/>
          <w:szCs w:val="32"/>
          <w:u w:val="single"/>
          <w:rtl/>
        </w:rPr>
      </w:pPr>
      <w:r w:rsidRPr="007D6397">
        <w:rPr>
          <w:rFonts w:ascii="David" w:hAnsi="David" w:hint="cs"/>
          <w:sz w:val="32"/>
          <w:szCs w:val="32"/>
          <w:u w:val="single"/>
          <w:rtl/>
        </w:rPr>
        <w:t xml:space="preserve">תמש 53646-07-20- </w:t>
      </w:r>
    </w:p>
    <w:p w:rsidR="005D4E8C" w:rsidRPr="007D6397" w:rsidRDefault="005D4E8C" w:rsidP="002931B7">
      <w:pPr>
        <w:jc w:val="both"/>
        <w:rPr>
          <w:rFonts w:ascii="David" w:hAnsi="David"/>
          <w:b/>
          <w:bCs/>
          <w:u w:val="single"/>
          <w:rtl/>
        </w:rPr>
      </w:pPr>
      <w:r w:rsidRPr="007D6397">
        <w:rPr>
          <w:rFonts w:ascii="David" w:hAnsi="David" w:hint="cs"/>
          <w:b/>
          <w:bCs/>
          <w:u w:val="single"/>
          <w:rtl/>
        </w:rPr>
        <w:t>תביעה לביטול הליך בוררות</w:t>
      </w:r>
      <w:r w:rsidR="00173EB3">
        <w:rPr>
          <w:rFonts w:ascii="David" w:hAnsi="David" w:hint="cs"/>
          <w:b/>
          <w:bCs/>
          <w:u w:val="single"/>
          <w:rtl/>
        </w:rPr>
        <w:t>, העברת הבוררת מתפקי</w:t>
      </w:r>
      <w:r w:rsidR="007D6397" w:rsidRPr="007D6397">
        <w:rPr>
          <w:rFonts w:ascii="David" w:hAnsi="David" w:hint="cs"/>
          <w:b/>
          <w:bCs/>
          <w:u w:val="single"/>
          <w:rtl/>
        </w:rPr>
        <w:t>דה ו/או מינוי בורר חליף</w:t>
      </w:r>
    </w:p>
    <w:p w:rsidR="00C13EF2" w:rsidRPr="007C7FE1" w:rsidRDefault="00C13EF2" w:rsidP="002931B7">
      <w:pPr>
        <w:jc w:val="both"/>
        <w:rPr>
          <w:rFonts w:ascii="David" w:hAnsi="David"/>
          <w:b/>
          <w:bCs/>
          <w:u w:val="double"/>
        </w:rPr>
      </w:pPr>
    </w:p>
    <w:p w:rsidR="005D4E8C" w:rsidRPr="00935460" w:rsidRDefault="00173EB3"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בתביעה שבנדון,</w:t>
      </w:r>
      <w:r w:rsidR="005D4E8C">
        <w:rPr>
          <w:rFonts w:ascii="David" w:hAnsi="David" w:cs="David" w:hint="cs"/>
          <w:sz w:val="24"/>
          <w:szCs w:val="24"/>
          <w:rtl/>
        </w:rPr>
        <w:t xml:space="preserve"> עתרו התובעים למספר סעדים בעני</w:t>
      </w:r>
      <w:r>
        <w:rPr>
          <w:rFonts w:ascii="David" w:hAnsi="David" w:cs="David" w:hint="cs"/>
          <w:sz w:val="24"/>
          <w:szCs w:val="24"/>
          <w:rtl/>
        </w:rPr>
        <w:t>י</w:t>
      </w:r>
      <w:r w:rsidR="005D4E8C">
        <w:rPr>
          <w:rFonts w:ascii="David" w:hAnsi="David" w:cs="David" w:hint="cs"/>
          <w:sz w:val="24"/>
          <w:szCs w:val="24"/>
          <w:rtl/>
        </w:rPr>
        <w:t xml:space="preserve">ן ביטול הליך </w:t>
      </w:r>
      <w:r>
        <w:rPr>
          <w:rFonts w:ascii="David" w:hAnsi="David" w:cs="David" w:hint="cs"/>
          <w:sz w:val="24"/>
          <w:szCs w:val="24"/>
          <w:rtl/>
        </w:rPr>
        <w:t>הבוררות ,</w:t>
      </w:r>
      <w:r w:rsidR="005D4E8C">
        <w:rPr>
          <w:rFonts w:ascii="David" w:hAnsi="David" w:cs="David" w:hint="cs"/>
          <w:sz w:val="24"/>
          <w:szCs w:val="24"/>
          <w:rtl/>
        </w:rPr>
        <w:t xml:space="preserve">העברת </w:t>
      </w:r>
      <w:r w:rsidR="00E447FE">
        <w:rPr>
          <w:rFonts w:ascii="David" w:hAnsi="David" w:cs="David" w:hint="cs"/>
          <w:sz w:val="24"/>
          <w:szCs w:val="24"/>
          <w:rtl/>
        </w:rPr>
        <w:t>ה</w:t>
      </w:r>
      <w:r w:rsidR="005D4E8C">
        <w:rPr>
          <w:rFonts w:ascii="David" w:hAnsi="David" w:cs="David" w:hint="cs"/>
          <w:sz w:val="24"/>
          <w:szCs w:val="24"/>
          <w:rtl/>
        </w:rPr>
        <w:t>בוררת מתפקידה</w:t>
      </w:r>
      <w:r>
        <w:rPr>
          <w:rFonts w:ascii="David" w:hAnsi="David" w:cs="David" w:hint="cs"/>
          <w:sz w:val="24"/>
          <w:szCs w:val="24"/>
          <w:rtl/>
        </w:rPr>
        <w:t xml:space="preserve"> ו/או מינוי בורר חליף;</w:t>
      </w:r>
      <w:r w:rsidR="005D4E8C">
        <w:rPr>
          <w:rFonts w:ascii="David" w:hAnsi="David" w:cs="David" w:hint="cs"/>
          <w:sz w:val="24"/>
          <w:szCs w:val="24"/>
          <w:rtl/>
        </w:rPr>
        <w:t xml:space="preserve"> הם </w:t>
      </w:r>
      <w:r w:rsidR="005D4E8C" w:rsidRPr="00AA0AF1">
        <w:rPr>
          <w:rFonts w:ascii="David" w:hAnsi="David" w:cs="David" w:hint="cs"/>
          <w:sz w:val="24"/>
          <w:szCs w:val="24"/>
          <w:rtl/>
        </w:rPr>
        <w:t xml:space="preserve">מבססים את תביעתם על טענות </w:t>
      </w:r>
      <w:r w:rsidR="005D4E8C">
        <w:rPr>
          <w:rFonts w:ascii="David" w:hAnsi="David" w:cs="David" w:hint="cs"/>
          <w:sz w:val="24"/>
          <w:szCs w:val="24"/>
          <w:rtl/>
        </w:rPr>
        <w:t>ע</w:t>
      </w:r>
      <w:r w:rsidR="00E447FE">
        <w:rPr>
          <w:rFonts w:ascii="David" w:hAnsi="David" w:cs="David" w:hint="cs"/>
          <w:sz w:val="24"/>
          <w:szCs w:val="24"/>
          <w:rtl/>
        </w:rPr>
        <w:t>י</w:t>
      </w:r>
      <w:r w:rsidR="005D4E8C">
        <w:rPr>
          <w:rFonts w:ascii="David" w:hAnsi="David" w:cs="David" w:hint="cs"/>
          <w:sz w:val="24"/>
          <w:szCs w:val="24"/>
          <w:rtl/>
        </w:rPr>
        <w:t xml:space="preserve">קריות </w:t>
      </w:r>
      <w:r w:rsidR="005D4E8C" w:rsidRPr="00AA0AF1">
        <w:rPr>
          <w:rFonts w:ascii="David" w:hAnsi="David" w:cs="David" w:hint="cs"/>
          <w:sz w:val="24"/>
          <w:szCs w:val="24"/>
          <w:rtl/>
        </w:rPr>
        <w:t>בדבר התנהלות מוטה של הבוררת לטובת הנתבעים</w:t>
      </w:r>
      <w:r w:rsidR="005D4E8C">
        <w:rPr>
          <w:rFonts w:ascii="David" w:hAnsi="David" w:cs="David" w:hint="cs"/>
          <w:sz w:val="24"/>
          <w:szCs w:val="24"/>
          <w:rtl/>
        </w:rPr>
        <w:t>, וחוסר אמון בבוררת.</w:t>
      </w:r>
      <w:r w:rsidR="00E447FE">
        <w:rPr>
          <w:rFonts w:ascii="David" w:hAnsi="David" w:cs="David" w:hint="cs"/>
          <w:sz w:val="24"/>
          <w:szCs w:val="24"/>
          <w:rtl/>
        </w:rPr>
        <w:t xml:space="preserve"> כן לטענתם</w:t>
      </w:r>
      <w:r w:rsidR="005D4E8C" w:rsidRPr="00935460">
        <w:rPr>
          <w:rFonts w:ascii="David" w:hAnsi="David" w:cs="David" w:hint="cs"/>
          <w:sz w:val="24"/>
          <w:szCs w:val="24"/>
          <w:rtl/>
        </w:rPr>
        <w:t xml:space="preserve"> מראית פני הצדק אף מצדיקה , אי שמיעת התיקים בפני הבוררת וביט</w:t>
      </w:r>
      <w:r w:rsidR="007D6397">
        <w:rPr>
          <w:rFonts w:ascii="David" w:hAnsi="David" w:cs="David" w:hint="cs"/>
          <w:sz w:val="24"/>
          <w:szCs w:val="24"/>
          <w:rtl/>
        </w:rPr>
        <w:t>ול הבוררות בתיקים .</w:t>
      </w:r>
    </w:p>
    <w:p w:rsidR="005D4E8C" w:rsidRDefault="005D4E8C" w:rsidP="002931B7">
      <w:pPr>
        <w:pStyle w:val="af"/>
        <w:spacing w:line="360" w:lineRule="auto"/>
        <w:jc w:val="both"/>
        <w:rPr>
          <w:rFonts w:ascii="David" w:hAnsi="David" w:cs="David"/>
          <w:sz w:val="24"/>
          <w:szCs w:val="24"/>
        </w:rPr>
      </w:pPr>
    </w:p>
    <w:p w:rsidR="005D4E8C" w:rsidRDefault="005D4E8C"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הנתבעי</w:t>
      </w:r>
      <w:r w:rsidR="00BE0052">
        <w:rPr>
          <w:rFonts w:ascii="David" w:hAnsi="David" w:cs="David" w:hint="cs"/>
          <w:sz w:val="24"/>
          <w:szCs w:val="24"/>
          <w:rtl/>
        </w:rPr>
        <w:t xml:space="preserve">ם מנגד טענו </w:t>
      </w:r>
      <w:r>
        <w:rPr>
          <w:rFonts w:ascii="David" w:hAnsi="David" w:cs="David" w:hint="cs"/>
          <w:sz w:val="24"/>
          <w:szCs w:val="24"/>
          <w:rtl/>
        </w:rPr>
        <w:t>שהסכם הבוררות קיבל תוקף של פסק דין ואי אפשר לבטלו אלא בתביעה לביטו</w:t>
      </w:r>
      <w:r w:rsidR="00BE0052">
        <w:rPr>
          <w:rFonts w:ascii="David" w:hAnsi="David" w:cs="David" w:hint="cs"/>
          <w:sz w:val="24"/>
          <w:szCs w:val="24"/>
          <w:rtl/>
        </w:rPr>
        <w:t xml:space="preserve">ל פסק דין; </w:t>
      </w:r>
      <w:r>
        <w:rPr>
          <w:rFonts w:ascii="David" w:hAnsi="David" w:cs="David" w:hint="cs"/>
          <w:sz w:val="24"/>
          <w:szCs w:val="24"/>
          <w:rtl/>
        </w:rPr>
        <w:t>באשר להעברת הבוררת מ</w:t>
      </w:r>
      <w:r w:rsidR="00173EB3">
        <w:rPr>
          <w:rFonts w:ascii="David" w:hAnsi="David" w:cs="David" w:hint="cs"/>
          <w:sz w:val="24"/>
          <w:szCs w:val="24"/>
          <w:rtl/>
        </w:rPr>
        <w:t>תפקידה, אין בט</w:t>
      </w:r>
      <w:r w:rsidR="00BE0052">
        <w:rPr>
          <w:rFonts w:ascii="David" w:hAnsi="David" w:cs="David" w:hint="cs"/>
          <w:sz w:val="24"/>
          <w:szCs w:val="24"/>
          <w:rtl/>
        </w:rPr>
        <w:t>ענה זו כלום שכן</w:t>
      </w:r>
      <w:r>
        <w:rPr>
          <w:rFonts w:ascii="David" w:hAnsi="David" w:cs="David" w:hint="cs"/>
          <w:sz w:val="24"/>
          <w:szCs w:val="24"/>
          <w:rtl/>
        </w:rPr>
        <w:t xml:space="preserve"> בפסיקה נקבעו ת</w:t>
      </w:r>
      <w:r w:rsidR="00E447FE">
        <w:rPr>
          <w:rFonts w:ascii="David" w:hAnsi="David" w:cs="David" w:hint="cs"/>
          <w:sz w:val="24"/>
          <w:szCs w:val="24"/>
          <w:rtl/>
        </w:rPr>
        <w:t>נאים מחמירים ביותר להדחת בורר  לפי העילות הקבועות בחוק .</w:t>
      </w:r>
    </w:p>
    <w:p w:rsidR="005D4E8C" w:rsidRPr="00A1766D" w:rsidRDefault="005D4E8C" w:rsidP="002931B7">
      <w:pPr>
        <w:spacing w:line="360" w:lineRule="auto"/>
        <w:jc w:val="both"/>
        <w:rPr>
          <w:rFonts w:ascii="David" w:hAnsi="David"/>
          <w:u w:val="single"/>
        </w:rPr>
      </w:pPr>
    </w:p>
    <w:p w:rsidR="0062269F" w:rsidRDefault="005D4E8C"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כפי שניו</w:t>
      </w:r>
      <w:r w:rsidR="007D6397">
        <w:rPr>
          <w:rFonts w:ascii="David" w:hAnsi="David" w:cs="David" w:hint="cs"/>
          <w:sz w:val="24"/>
          <w:szCs w:val="24"/>
          <w:rtl/>
        </w:rPr>
        <w:t xml:space="preserve">וכח להלן, התובעים לא הוכיחו </w:t>
      </w:r>
      <w:r>
        <w:rPr>
          <w:rFonts w:ascii="David" w:hAnsi="David" w:cs="David" w:hint="cs"/>
          <w:sz w:val="24"/>
          <w:szCs w:val="24"/>
          <w:rtl/>
        </w:rPr>
        <w:t>טענותיהם בעני</w:t>
      </w:r>
      <w:r w:rsidR="00173EB3">
        <w:rPr>
          <w:rFonts w:ascii="David" w:hAnsi="David" w:cs="David" w:hint="cs"/>
          <w:sz w:val="24"/>
          <w:szCs w:val="24"/>
          <w:rtl/>
        </w:rPr>
        <w:t>י</w:t>
      </w:r>
      <w:r>
        <w:rPr>
          <w:rFonts w:ascii="David" w:hAnsi="David" w:cs="David" w:hint="cs"/>
          <w:sz w:val="24"/>
          <w:szCs w:val="24"/>
          <w:rtl/>
        </w:rPr>
        <w:t>ן התנהלות הבוררת בהליך הבררות, כהתנהלות מוטה לטובת הנתבעים,</w:t>
      </w:r>
      <w:r w:rsidR="0062269F">
        <w:rPr>
          <w:rFonts w:ascii="David" w:hAnsi="David" w:cs="David" w:hint="cs"/>
          <w:sz w:val="24"/>
          <w:szCs w:val="24"/>
          <w:rtl/>
        </w:rPr>
        <w:t xml:space="preserve"> אדון להלן בטענות התובעים</w:t>
      </w:r>
    </w:p>
    <w:p w:rsidR="005D4E8C" w:rsidRPr="00D96E6F" w:rsidRDefault="005D4E8C" w:rsidP="002931B7">
      <w:pPr>
        <w:spacing w:line="360" w:lineRule="auto"/>
        <w:jc w:val="both"/>
        <w:rPr>
          <w:rFonts w:ascii="David" w:hAnsi="David"/>
          <w:u w:val="single"/>
        </w:rPr>
      </w:pPr>
      <w:r w:rsidRPr="00D96E6F">
        <w:rPr>
          <w:rFonts w:ascii="David" w:hAnsi="David" w:hint="cs"/>
          <w:u w:val="single"/>
          <w:rtl/>
        </w:rPr>
        <w:t>הערת</w:t>
      </w:r>
      <w:r w:rsidR="00D96E6F" w:rsidRPr="00D96E6F">
        <w:rPr>
          <w:rFonts w:ascii="David" w:hAnsi="David" w:hint="cs"/>
          <w:u w:val="single"/>
          <w:rtl/>
        </w:rPr>
        <w:t xml:space="preserve"> הבוררת לענין פסק הדין של </w:t>
      </w:r>
      <w:r w:rsidRPr="00D96E6F">
        <w:rPr>
          <w:rFonts w:ascii="David" w:hAnsi="David" w:hint="cs"/>
          <w:u w:val="single"/>
          <w:rtl/>
        </w:rPr>
        <w:t xml:space="preserve"> בית </w:t>
      </w:r>
      <w:r w:rsidR="00D96E6F" w:rsidRPr="00D96E6F">
        <w:rPr>
          <w:rFonts w:ascii="David" w:hAnsi="David" w:hint="cs"/>
          <w:u w:val="single"/>
          <w:rtl/>
        </w:rPr>
        <w:t>ה</w:t>
      </w:r>
      <w:r w:rsidRPr="00D96E6F">
        <w:rPr>
          <w:rFonts w:ascii="David" w:hAnsi="David" w:hint="cs"/>
          <w:u w:val="single"/>
          <w:rtl/>
        </w:rPr>
        <w:t>משפט המחוזי</w:t>
      </w:r>
    </w:p>
    <w:p w:rsidR="00D96E6F" w:rsidRDefault="005D4E8C" w:rsidP="002931B7">
      <w:pPr>
        <w:pStyle w:val="af"/>
        <w:numPr>
          <w:ilvl w:val="0"/>
          <w:numId w:val="2"/>
        </w:numPr>
        <w:spacing w:line="360" w:lineRule="auto"/>
        <w:jc w:val="both"/>
        <w:rPr>
          <w:rFonts w:ascii="David" w:hAnsi="David" w:cs="David"/>
          <w:b/>
          <w:bCs/>
          <w:sz w:val="24"/>
          <w:szCs w:val="24"/>
          <w:u w:val="single"/>
        </w:rPr>
      </w:pPr>
      <w:r w:rsidRPr="00EC4CC5">
        <w:rPr>
          <w:rFonts w:ascii="David" w:hAnsi="David" w:cs="David" w:hint="cs"/>
          <w:sz w:val="24"/>
          <w:szCs w:val="24"/>
          <w:rtl/>
        </w:rPr>
        <w:t>לשיטת התו</w:t>
      </w:r>
      <w:r w:rsidR="00D96E6F">
        <w:rPr>
          <w:rFonts w:ascii="David" w:hAnsi="David" w:cs="David" w:hint="cs"/>
          <w:sz w:val="24"/>
          <w:szCs w:val="24"/>
          <w:rtl/>
        </w:rPr>
        <w:t xml:space="preserve">בעים, הבוררת  כבר בישיבה הראשונה  מתאריך 13/12/18 </w:t>
      </w:r>
      <w:r w:rsidRPr="00EC4CC5">
        <w:rPr>
          <w:rFonts w:ascii="David" w:hAnsi="David" w:cs="David" w:hint="cs"/>
          <w:sz w:val="24"/>
          <w:szCs w:val="24"/>
          <w:rtl/>
        </w:rPr>
        <w:t xml:space="preserve">, העירה </w:t>
      </w:r>
      <w:r w:rsidR="00D96E6F">
        <w:rPr>
          <w:rFonts w:ascii="David" w:hAnsi="David" w:cs="David" w:hint="cs"/>
          <w:sz w:val="24"/>
          <w:szCs w:val="24"/>
          <w:rtl/>
        </w:rPr>
        <w:t xml:space="preserve">"שלא לפרוטוקול" </w:t>
      </w:r>
      <w:r w:rsidRPr="00EC4CC5">
        <w:rPr>
          <w:rFonts w:ascii="David" w:hAnsi="David" w:cs="David" w:hint="cs"/>
          <w:sz w:val="24"/>
          <w:szCs w:val="24"/>
          <w:rtl/>
        </w:rPr>
        <w:t>כי פסק הדי</w:t>
      </w:r>
      <w:r>
        <w:rPr>
          <w:rFonts w:ascii="David" w:hAnsi="David" w:cs="David" w:hint="cs"/>
          <w:sz w:val="24"/>
          <w:szCs w:val="24"/>
          <w:rtl/>
        </w:rPr>
        <w:t>ן שניתן ע"י ביהמ</w:t>
      </w:r>
      <w:r w:rsidR="00D96E6F">
        <w:rPr>
          <w:rFonts w:ascii="David" w:hAnsi="David" w:cs="David" w:hint="cs"/>
          <w:sz w:val="24"/>
          <w:szCs w:val="24"/>
          <w:rtl/>
        </w:rPr>
        <w:t>"</w:t>
      </w:r>
      <w:r>
        <w:rPr>
          <w:rFonts w:ascii="David" w:hAnsi="David" w:cs="David" w:hint="cs"/>
          <w:sz w:val="24"/>
          <w:szCs w:val="24"/>
          <w:rtl/>
        </w:rPr>
        <w:t xml:space="preserve">ש </w:t>
      </w:r>
      <w:r w:rsidR="00D96E6F">
        <w:rPr>
          <w:rFonts w:ascii="David" w:hAnsi="David" w:cs="David" w:hint="cs"/>
          <w:sz w:val="24"/>
          <w:szCs w:val="24"/>
          <w:rtl/>
        </w:rPr>
        <w:t>ה</w:t>
      </w:r>
      <w:r>
        <w:rPr>
          <w:rFonts w:ascii="David" w:hAnsi="David" w:cs="David" w:hint="cs"/>
          <w:sz w:val="24"/>
          <w:szCs w:val="24"/>
          <w:rtl/>
        </w:rPr>
        <w:t>מחוזי בערעור-</w:t>
      </w:r>
      <w:r w:rsidRPr="00EC4CC5">
        <w:rPr>
          <w:rFonts w:ascii="David" w:hAnsi="David" w:cs="David" w:hint="cs"/>
          <w:sz w:val="24"/>
          <w:szCs w:val="24"/>
          <w:rtl/>
        </w:rPr>
        <w:t>עמש8068-07-15, "אינו מ</w:t>
      </w:r>
      <w:r>
        <w:rPr>
          <w:rFonts w:ascii="David" w:hAnsi="David" w:cs="David" w:hint="cs"/>
          <w:sz w:val="24"/>
          <w:szCs w:val="24"/>
          <w:rtl/>
        </w:rPr>
        <w:t>וסכם</w:t>
      </w:r>
      <w:r w:rsidR="00D96E6F">
        <w:rPr>
          <w:rFonts w:ascii="David" w:hAnsi="David" w:cs="David" w:hint="cs"/>
          <w:sz w:val="24"/>
          <w:szCs w:val="24"/>
          <w:rtl/>
        </w:rPr>
        <w:t xml:space="preserve">/מקובל </w:t>
      </w:r>
      <w:r>
        <w:rPr>
          <w:rFonts w:ascii="David" w:hAnsi="David" w:cs="David" w:hint="cs"/>
          <w:sz w:val="24"/>
          <w:szCs w:val="24"/>
          <w:rtl/>
        </w:rPr>
        <w:t xml:space="preserve"> עליה אולם אין מנוס מכיבודו"</w:t>
      </w:r>
      <w:r w:rsidR="003813F7">
        <w:rPr>
          <w:rFonts w:ascii="David" w:hAnsi="David" w:cs="David" w:hint="cs"/>
          <w:sz w:val="24"/>
          <w:szCs w:val="24"/>
          <w:rtl/>
        </w:rPr>
        <w:t xml:space="preserve"> ;</w:t>
      </w:r>
      <w:r w:rsidRPr="00EC4CC5">
        <w:rPr>
          <w:rFonts w:ascii="David" w:hAnsi="David" w:cs="David" w:hint="cs"/>
          <w:sz w:val="24"/>
          <w:szCs w:val="24"/>
          <w:rtl/>
        </w:rPr>
        <w:t xml:space="preserve"> הבוררת בפסק</w:t>
      </w:r>
      <w:r w:rsidR="00D96E6F">
        <w:rPr>
          <w:rFonts w:ascii="David" w:hAnsi="David" w:cs="David" w:hint="cs"/>
          <w:sz w:val="24"/>
          <w:szCs w:val="24"/>
          <w:rtl/>
        </w:rPr>
        <w:t xml:space="preserve"> שנתנה, איינה את פסק הדין המחוזי</w:t>
      </w:r>
      <w:r w:rsidRPr="00EC4CC5">
        <w:rPr>
          <w:rFonts w:ascii="David" w:hAnsi="David" w:cs="David" w:hint="cs"/>
          <w:sz w:val="24"/>
          <w:szCs w:val="24"/>
          <w:rtl/>
        </w:rPr>
        <w:t xml:space="preserve"> מכל תוכן</w:t>
      </w:r>
      <w:r w:rsidR="00D96E6F">
        <w:rPr>
          <w:rFonts w:ascii="David" w:hAnsi="David" w:cs="David" w:hint="cs"/>
          <w:sz w:val="24"/>
          <w:szCs w:val="24"/>
          <w:rtl/>
        </w:rPr>
        <w:t>.</w:t>
      </w:r>
    </w:p>
    <w:p w:rsidR="0024695C" w:rsidRPr="0024695C" w:rsidRDefault="0024695C" w:rsidP="002931B7">
      <w:pPr>
        <w:pStyle w:val="af"/>
        <w:spacing w:line="360" w:lineRule="auto"/>
        <w:ind w:left="360"/>
        <w:jc w:val="both"/>
        <w:rPr>
          <w:rFonts w:ascii="David" w:hAnsi="David" w:cs="David"/>
          <w:sz w:val="24"/>
          <w:szCs w:val="24"/>
        </w:rPr>
      </w:pPr>
      <w:r w:rsidRPr="0024695C">
        <w:rPr>
          <w:rFonts w:ascii="David" w:hAnsi="David" w:cs="David" w:hint="cs"/>
          <w:sz w:val="24"/>
          <w:szCs w:val="24"/>
          <w:rtl/>
        </w:rPr>
        <w:t>התובעים העידו מטעמם א</w:t>
      </w:r>
      <w:r w:rsidR="00893D05">
        <w:rPr>
          <w:rFonts w:ascii="David" w:hAnsi="David" w:cs="David" w:hint="cs"/>
          <w:sz w:val="24"/>
          <w:szCs w:val="24"/>
          <w:rtl/>
        </w:rPr>
        <w:t xml:space="preserve">ת ב"כ עו"ד עותמאן </w:t>
      </w:r>
      <w:r w:rsidRPr="0024695C">
        <w:rPr>
          <w:rFonts w:ascii="David" w:hAnsi="David" w:cs="David" w:hint="cs"/>
          <w:sz w:val="24"/>
          <w:szCs w:val="24"/>
          <w:rtl/>
        </w:rPr>
        <w:t>,</w:t>
      </w:r>
      <w:r w:rsidR="00F56B92">
        <w:rPr>
          <w:rFonts w:ascii="David" w:hAnsi="David" w:cs="David" w:hint="cs"/>
          <w:sz w:val="24"/>
          <w:szCs w:val="24"/>
          <w:rtl/>
        </w:rPr>
        <w:t xml:space="preserve"> </w:t>
      </w:r>
      <w:r w:rsidRPr="0024695C">
        <w:rPr>
          <w:rFonts w:ascii="David" w:hAnsi="David" w:cs="David" w:hint="cs"/>
          <w:sz w:val="24"/>
          <w:szCs w:val="24"/>
          <w:rtl/>
        </w:rPr>
        <w:t>אשר הגיש תצהיר ונחקר בפני</w:t>
      </w:r>
      <w:r w:rsidR="0062269F">
        <w:rPr>
          <w:rFonts w:ascii="David" w:hAnsi="David" w:cs="David" w:hint="cs"/>
          <w:sz w:val="24"/>
          <w:szCs w:val="24"/>
          <w:rtl/>
        </w:rPr>
        <w:t>י,</w:t>
      </w:r>
      <w:r w:rsidRPr="0024695C">
        <w:rPr>
          <w:rtl/>
        </w:rPr>
        <w:t xml:space="preserve"> </w:t>
      </w:r>
      <w:r w:rsidR="00893D05">
        <w:rPr>
          <w:rFonts w:ascii="David" w:hAnsi="David" w:cs="David"/>
          <w:sz w:val="24"/>
          <w:szCs w:val="24"/>
          <w:rtl/>
        </w:rPr>
        <w:t xml:space="preserve">עו"ד עותמאן </w:t>
      </w:r>
      <w:r w:rsidRPr="0024695C">
        <w:rPr>
          <w:rFonts w:ascii="David" w:hAnsi="David" w:cs="David"/>
          <w:sz w:val="24"/>
          <w:szCs w:val="24"/>
          <w:rtl/>
        </w:rPr>
        <w:t xml:space="preserve"> בחקירתו עמד בתוקף על גרסתו</w:t>
      </w:r>
      <w:r>
        <w:rPr>
          <w:rFonts w:ascii="David" w:hAnsi="David" w:cs="David"/>
          <w:sz w:val="24"/>
          <w:szCs w:val="24"/>
          <w:rtl/>
        </w:rPr>
        <w:t xml:space="preserve"> </w:t>
      </w:r>
      <w:r>
        <w:rPr>
          <w:rFonts w:ascii="David" w:hAnsi="David" w:cs="David" w:hint="cs"/>
          <w:sz w:val="24"/>
          <w:szCs w:val="24"/>
          <w:rtl/>
        </w:rPr>
        <w:t>,</w:t>
      </w:r>
      <w:r w:rsidRPr="0024695C">
        <w:rPr>
          <w:rFonts w:ascii="David" w:hAnsi="David" w:cs="David"/>
          <w:sz w:val="24"/>
          <w:szCs w:val="24"/>
          <w:rtl/>
        </w:rPr>
        <w:t xml:space="preserve">והעיד כי </w:t>
      </w:r>
      <w:r>
        <w:rPr>
          <w:rFonts w:ascii="David" w:hAnsi="David" w:cs="David" w:hint="cs"/>
          <w:sz w:val="24"/>
          <w:szCs w:val="24"/>
          <w:rtl/>
        </w:rPr>
        <w:t>ה</w:t>
      </w:r>
      <w:r w:rsidRPr="0024695C">
        <w:rPr>
          <w:rFonts w:ascii="David" w:hAnsi="David" w:cs="David"/>
          <w:sz w:val="24"/>
          <w:szCs w:val="24"/>
          <w:rtl/>
        </w:rPr>
        <w:t xml:space="preserve">בוררת אמרה </w:t>
      </w:r>
      <w:r>
        <w:rPr>
          <w:rFonts w:ascii="David" w:hAnsi="David" w:cs="David" w:hint="cs"/>
          <w:sz w:val="24"/>
          <w:szCs w:val="24"/>
          <w:rtl/>
        </w:rPr>
        <w:t xml:space="preserve"> לעני</w:t>
      </w:r>
      <w:r w:rsidR="00F56B92">
        <w:rPr>
          <w:rFonts w:ascii="David" w:hAnsi="David" w:cs="David" w:hint="cs"/>
          <w:sz w:val="24"/>
          <w:szCs w:val="24"/>
          <w:rtl/>
        </w:rPr>
        <w:t>ין פסק ה</w:t>
      </w:r>
      <w:r>
        <w:rPr>
          <w:rFonts w:ascii="David" w:hAnsi="David" w:cs="David" w:hint="cs"/>
          <w:sz w:val="24"/>
          <w:szCs w:val="24"/>
          <w:rtl/>
        </w:rPr>
        <w:t xml:space="preserve">דין של ביהמ"ש המחוזי </w:t>
      </w:r>
      <w:r w:rsidRPr="0024695C">
        <w:rPr>
          <w:rFonts w:ascii="David" w:hAnsi="David" w:cs="David"/>
          <w:sz w:val="24"/>
          <w:szCs w:val="24"/>
          <w:rtl/>
        </w:rPr>
        <w:t>"..</w:t>
      </w:r>
      <w:r w:rsidRPr="0062269F">
        <w:rPr>
          <w:rFonts w:ascii="David" w:hAnsi="David" w:cs="David"/>
          <w:b/>
          <w:bCs/>
          <w:sz w:val="24"/>
          <w:szCs w:val="24"/>
          <w:rtl/>
        </w:rPr>
        <w:t>זה לא מקובל עליה, אבל אין מנוס אלא לכבד אותו</w:t>
      </w:r>
      <w:r>
        <w:rPr>
          <w:rFonts w:ascii="David" w:hAnsi="David" w:cs="David"/>
          <w:sz w:val="24"/>
          <w:szCs w:val="24"/>
          <w:rtl/>
        </w:rPr>
        <w:t xml:space="preserve">" (עמ6ש26-35) </w:t>
      </w:r>
      <w:r>
        <w:rPr>
          <w:rFonts w:ascii="David" w:hAnsi="David" w:cs="David" w:hint="cs"/>
          <w:sz w:val="24"/>
          <w:szCs w:val="24"/>
          <w:rtl/>
        </w:rPr>
        <w:t>,</w:t>
      </w:r>
      <w:r w:rsidRPr="0024695C">
        <w:rPr>
          <w:rFonts w:ascii="David" w:hAnsi="David" w:cs="David"/>
          <w:sz w:val="24"/>
          <w:szCs w:val="24"/>
          <w:rtl/>
        </w:rPr>
        <w:t xml:space="preserve">זה המשפט </w:t>
      </w:r>
      <w:r>
        <w:rPr>
          <w:rFonts w:ascii="David" w:hAnsi="David" w:cs="David"/>
          <w:sz w:val="24"/>
          <w:szCs w:val="24"/>
          <w:rtl/>
        </w:rPr>
        <w:t xml:space="preserve">הראשון שאמרה אותו הבוררת, </w:t>
      </w:r>
      <w:r w:rsidRPr="0024695C">
        <w:rPr>
          <w:rFonts w:ascii="David" w:hAnsi="David" w:cs="David"/>
          <w:sz w:val="24"/>
          <w:szCs w:val="24"/>
          <w:rtl/>
        </w:rPr>
        <w:t xml:space="preserve"> לפני</w:t>
      </w:r>
      <w:r>
        <w:rPr>
          <w:rFonts w:ascii="David" w:hAnsi="David" w:cs="David" w:hint="cs"/>
          <w:sz w:val="24"/>
          <w:szCs w:val="24"/>
          <w:rtl/>
        </w:rPr>
        <w:t xml:space="preserve"> תחילת </w:t>
      </w:r>
      <w:r w:rsidRPr="0024695C">
        <w:rPr>
          <w:rFonts w:ascii="David" w:hAnsi="David" w:cs="David"/>
          <w:sz w:val="24"/>
          <w:szCs w:val="24"/>
          <w:rtl/>
        </w:rPr>
        <w:t xml:space="preserve"> הקלטה" (עמ5ש</w:t>
      </w:r>
      <w:r>
        <w:rPr>
          <w:rFonts w:ascii="David" w:hAnsi="David" w:cs="David" w:hint="cs"/>
          <w:sz w:val="24"/>
          <w:szCs w:val="24"/>
          <w:rtl/>
        </w:rPr>
        <w:t xml:space="preserve">5, 12 , 23). </w:t>
      </w:r>
      <w:r>
        <w:rPr>
          <w:rFonts w:ascii="David" w:hAnsi="David" w:cs="David"/>
          <w:sz w:val="24"/>
          <w:szCs w:val="24"/>
          <w:rtl/>
        </w:rPr>
        <w:t xml:space="preserve">  </w:t>
      </w:r>
    </w:p>
    <w:p w:rsidR="005D4E8C" w:rsidRPr="00BD1617" w:rsidRDefault="005D4E8C" w:rsidP="002931B7">
      <w:pPr>
        <w:pStyle w:val="af"/>
        <w:spacing w:line="360" w:lineRule="auto"/>
        <w:jc w:val="both"/>
        <w:rPr>
          <w:rFonts w:ascii="David" w:hAnsi="David" w:cs="David"/>
          <w:sz w:val="24"/>
          <w:szCs w:val="24"/>
          <w:rtl/>
        </w:rPr>
      </w:pPr>
    </w:p>
    <w:p w:rsidR="0024695C" w:rsidRDefault="0024695C" w:rsidP="002931B7">
      <w:pPr>
        <w:pStyle w:val="af"/>
        <w:numPr>
          <w:ilvl w:val="0"/>
          <w:numId w:val="2"/>
        </w:numPr>
        <w:spacing w:line="360" w:lineRule="auto"/>
        <w:jc w:val="both"/>
        <w:rPr>
          <w:rFonts w:ascii="David" w:hAnsi="David" w:cs="David"/>
          <w:sz w:val="24"/>
          <w:szCs w:val="24"/>
        </w:rPr>
      </w:pPr>
      <w:r w:rsidRPr="0024695C">
        <w:rPr>
          <w:rFonts w:ascii="David" w:hAnsi="David" w:cs="David"/>
          <w:sz w:val="24"/>
          <w:szCs w:val="24"/>
          <w:rtl/>
        </w:rPr>
        <w:t>מנגד, לשיטת הנתבעים, מקרה זה לא היה. אין זכר לכך בפרוטוקול. הישיבה הוקלטה ותומללה במלואה.</w:t>
      </w:r>
      <w:r w:rsidRPr="0024695C">
        <w:rPr>
          <w:rtl/>
        </w:rPr>
        <w:t xml:space="preserve"> </w:t>
      </w:r>
      <w:r w:rsidR="00893D05">
        <w:rPr>
          <w:rFonts w:ascii="David" w:hAnsi="David" w:cs="David"/>
          <w:sz w:val="24"/>
          <w:szCs w:val="24"/>
          <w:rtl/>
        </w:rPr>
        <w:t xml:space="preserve">הנתבעת </w:t>
      </w:r>
      <w:r w:rsidRPr="0024695C">
        <w:rPr>
          <w:rFonts w:ascii="David" w:hAnsi="David" w:cs="David"/>
          <w:sz w:val="24"/>
          <w:szCs w:val="24"/>
          <w:rtl/>
        </w:rPr>
        <w:t xml:space="preserve"> הצהירה </w:t>
      </w:r>
      <w:r w:rsidR="00B27CB0">
        <w:rPr>
          <w:rFonts w:ascii="David" w:hAnsi="David" w:cs="David"/>
          <w:sz w:val="24"/>
          <w:szCs w:val="24"/>
          <w:rtl/>
        </w:rPr>
        <w:t>כי</w:t>
      </w:r>
      <w:r w:rsidR="00B27CB0">
        <w:rPr>
          <w:rFonts w:ascii="David" w:hAnsi="David" w:cs="David" w:hint="cs"/>
          <w:sz w:val="24"/>
          <w:szCs w:val="24"/>
          <w:rtl/>
        </w:rPr>
        <w:t>,</w:t>
      </w:r>
      <w:r w:rsidR="00F56B92">
        <w:rPr>
          <w:rFonts w:ascii="David" w:hAnsi="David" w:cs="David" w:hint="cs"/>
          <w:sz w:val="24"/>
          <w:szCs w:val="24"/>
          <w:rtl/>
        </w:rPr>
        <w:t xml:space="preserve"> </w:t>
      </w:r>
      <w:r w:rsidR="00B27CB0">
        <w:rPr>
          <w:rFonts w:ascii="David" w:hAnsi="David" w:cs="David"/>
          <w:sz w:val="24"/>
          <w:szCs w:val="24"/>
          <w:rtl/>
        </w:rPr>
        <w:t>לא זכורה ל</w:t>
      </w:r>
      <w:r w:rsidR="00B27CB0">
        <w:rPr>
          <w:rFonts w:ascii="David" w:hAnsi="David" w:cs="David" w:hint="cs"/>
          <w:sz w:val="24"/>
          <w:szCs w:val="24"/>
          <w:rtl/>
        </w:rPr>
        <w:t>ה</w:t>
      </w:r>
      <w:r w:rsidR="00B27CB0">
        <w:rPr>
          <w:rFonts w:ascii="David" w:hAnsi="David" w:cs="David"/>
          <w:sz w:val="24"/>
          <w:szCs w:val="24"/>
          <w:rtl/>
        </w:rPr>
        <w:t xml:space="preserve"> אמירה כזו</w:t>
      </w:r>
      <w:r w:rsidR="00B27CB0">
        <w:rPr>
          <w:rFonts w:ascii="David" w:hAnsi="David" w:cs="David" w:hint="cs"/>
          <w:sz w:val="24"/>
          <w:szCs w:val="24"/>
          <w:rtl/>
        </w:rPr>
        <w:t>,</w:t>
      </w:r>
      <w:r w:rsidR="00F56B92">
        <w:rPr>
          <w:rFonts w:ascii="David" w:hAnsi="David" w:cs="David" w:hint="cs"/>
          <w:sz w:val="24"/>
          <w:szCs w:val="24"/>
          <w:rtl/>
        </w:rPr>
        <w:t xml:space="preserve"> </w:t>
      </w:r>
      <w:r w:rsidR="00B27CB0">
        <w:rPr>
          <w:rFonts w:ascii="David" w:hAnsi="David" w:cs="David" w:hint="cs"/>
          <w:sz w:val="24"/>
          <w:szCs w:val="24"/>
          <w:rtl/>
        </w:rPr>
        <w:t>ה</w:t>
      </w:r>
      <w:r w:rsidRPr="0024695C">
        <w:rPr>
          <w:rFonts w:ascii="David" w:hAnsi="David" w:cs="David"/>
          <w:sz w:val="24"/>
          <w:szCs w:val="24"/>
          <w:rtl/>
        </w:rPr>
        <w:t>ישיבה הוקלטה מתחילתה ועד סופה, כל שנאמר בישיבה הוקלט,</w:t>
      </w:r>
      <w:r w:rsidR="00F56B92">
        <w:rPr>
          <w:rFonts w:ascii="David" w:hAnsi="David" w:cs="David" w:hint="cs"/>
          <w:sz w:val="24"/>
          <w:szCs w:val="24"/>
          <w:rtl/>
        </w:rPr>
        <w:t xml:space="preserve"> </w:t>
      </w:r>
      <w:r w:rsidRPr="0024695C">
        <w:rPr>
          <w:rFonts w:ascii="David" w:hAnsi="David" w:cs="David"/>
          <w:sz w:val="24"/>
          <w:szCs w:val="24"/>
          <w:rtl/>
        </w:rPr>
        <w:t>ו</w:t>
      </w:r>
      <w:r w:rsidR="0062269F">
        <w:rPr>
          <w:rFonts w:ascii="David" w:hAnsi="David" w:cs="David" w:hint="cs"/>
          <w:sz w:val="24"/>
          <w:szCs w:val="24"/>
          <w:rtl/>
        </w:rPr>
        <w:t>ה</w:t>
      </w:r>
      <w:r w:rsidRPr="0024695C">
        <w:rPr>
          <w:rFonts w:ascii="David" w:hAnsi="David" w:cs="David"/>
          <w:sz w:val="24"/>
          <w:szCs w:val="24"/>
          <w:rtl/>
        </w:rPr>
        <w:t>פרוטוקול המוקלט תומלל במלואו. בחקירתה עמדה על גרסתה כי הכל הוקלט ותומלל(עמ3ש15,1,11)</w:t>
      </w:r>
      <w:r w:rsidR="00B27CB0">
        <w:rPr>
          <w:rFonts w:ascii="David" w:hAnsi="David" w:cs="David" w:hint="cs"/>
          <w:sz w:val="24"/>
          <w:szCs w:val="24"/>
          <w:rtl/>
        </w:rPr>
        <w:t>.</w:t>
      </w:r>
    </w:p>
    <w:p w:rsidR="00B27CB0" w:rsidRDefault="00B27CB0" w:rsidP="002931B7">
      <w:pPr>
        <w:pStyle w:val="af"/>
        <w:spacing w:line="360" w:lineRule="auto"/>
        <w:ind w:left="360"/>
        <w:jc w:val="both"/>
        <w:rPr>
          <w:rFonts w:ascii="David" w:hAnsi="David" w:cs="David"/>
          <w:sz w:val="24"/>
          <w:szCs w:val="24"/>
        </w:rPr>
      </w:pPr>
    </w:p>
    <w:p w:rsidR="00B27CB0" w:rsidRDefault="00B27CB0"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lastRenderedPageBreak/>
        <w:t xml:space="preserve">לא </w:t>
      </w:r>
      <w:r w:rsidR="00A37669">
        <w:rPr>
          <w:rFonts w:ascii="David" w:hAnsi="David" w:cs="David" w:hint="cs"/>
          <w:sz w:val="24"/>
          <w:szCs w:val="24"/>
          <w:rtl/>
        </w:rPr>
        <w:t>מצאתי לקבל את טענות</w:t>
      </w:r>
      <w:r>
        <w:rPr>
          <w:rFonts w:ascii="David" w:hAnsi="David" w:cs="David" w:hint="cs"/>
          <w:sz w:val="24"/>
          <w:szCs w:val="24"/>
          <w:rtl/>
        </w:rPr>
        <w:t xml:space="preserve"> התובעים בענ</w:t>
      </w:r>
      <w:r w:rsidR="00A37669">
        <w:rPr>
          <w:rFonts w:ascii="David" w:hAnsi="David" w:cs="David" w:hint="cs"/>
          <w:sz w:val="24"/>
          <w:szCs w:val="24"/>
          <w:rtl/>
        </w:rPr>
        <w:t>י</w:t>
      </w:r>
      <w:r>
        <w:rPr>
          <w:rFonts w:ascii="David" w:hAnsi="David" w:cs="David" w:hint="cs"/>
          <w:sz w:val="24"/>
          <w:szCs w:val="24"/>
          <w:rtl/>
        </w:rPr>
        <w:t>ין זה.</w:t>
      </w:r>
    </w:p>
    <w:p w:rsidR="0024695C" w:rsidRDefault="00B27CB0" w:rsidP="002931B7">
      <w:pPr>
        <w:pStyle w:val="af"/>
        <w:spacing w:line="360" w:lineRule="auto"/>
        <w:ind w:left="360"/>
        <w:jc w:val="both"/>
        <w:rPr>
          <w:rFonts w:ascii="David" w:hAnsi="David" w:cs="David"/>
          <w:sz w:val="24"/>
          <w:szCs w:val="24"/>
        </w:rPr>
      </w:pPr>
      <w:r w:rsidRPr="00A37669">
        <w:rPr>
          <w:rFonts w:ascii="David" w:hAnsi="David" w:cs="David" w:hint="cs"/>
          <w:sz w:val="24"/>
          <w:szCs w:val="24"/>
          <w:u w:val="single"/>
          <w:rtl/>
        </w:rPr>
        <w:t>ראשית</w:t>
      </w:r>
      <w:r>
        <w:rPr>
          <w:rFonts w:ascii="David" w:hAnsi="David" w:cs="David" w:hint="cs"/>
          <w:sz w:val="24"/>
          <w:szCs w:val="24"/>
          <w:rtl/>
        </w:rPr>
        <w:t>,</w:t>
      </w:r>
      <w:r w:rsidR="00A37669">
        <w:rPr>
          <w:rFonts w:ascii="David" w:hAnsi="David" w:cs="David" w:hint="cs"/>
          <w:sz w:val="24"/>
          <w:szCs w:val="24"/>
          <w:rtl/>
        </w:rPr>
        <w:t xml:space="preserve"> </w:t>
      </w:r>
      <w:r w:rsidR="0024695C">
        <w:rPr>
          <w:rFonts w:ascii="David" w:hAnsi="David" w:cs="David" w:hint="cs"/>
          <w:sz w:val="24"/>
          <w:szCs w:val="24"/>
          <w:rtl/>
        </w:rPr>
        <w:t>לא הוכח בפני כי הבוררת אמרה אמירה זו.</w:t>
      </w:r>
    </w:p>
    <w:p w:rsidR="00B27CB0" w:rsidRDefault="005D4E8C" w:rsidP="002931B7">
      <w:pPr>
        <w:pStyle w:val="af"/>
        <w:spacing w:line="360" w:lineRule="auto"/>
        <w:ind w:left="360"/>
        <w:jc w:val="both"/>
        <w:rPr>
          <w:rFonts w:ascii="David" w:hAnsi="David" w:cs="David"/>
          <w:sz w:val="24"/>
          <w:szCs w:val="24"/>
          <w:rtl/>
        </w:rPr>
      </w:pPr>
      <w:r w:rsidRPr="00983F47">
        <w:rPr>
          <w:rFonts w:ascii="David" w:hAnsi="David" w:cs="David" w:hint="cs"/>
          <w:sz w:val="24"/>
          <w:szCs w:val="24"/>
          <w:rtl/>
        </w:rPr>
        <w:t>מדובר כנטען באמירה של הבוררת "שלא לפרוטוקו</w:t>
      </w:r>
      <w:r w:rsidRPr="00983F47">
        <w:rPr>
          <w:rFonts w:ascii="David" w:hAnsi="David" w:cs="David" w:hint="eastAsia"/>
          <w:sz w:val="24"/>
          <w:szCs w:val="24"/>
          <w:rtl/>
        </w:rPr>
        <w:t>ל</w:t>
      </w:r>
      <w:r w:rsidRPr="00983F47">
        <w:rPr>
          <w:rFonts w:ascii="David" w:hAnsi="David" w:cs="David" w:hint="cs"/>
          <w:sz w:val="24"/>
          <w:szCs w:val="24"/>
          <w:rtl/>
        </w:rPr>
        <w:t xml:space="preserve">" בדיון 13/12/18. בדיון זה נכחו, הבוררת עצמה, </w:t>
      </w:r>
      <w:r w:rsidR="00A37669">
        <w:rPr>
          <w:rFonts w:ascii="David" w:hAnsi="David" w:cs="David" w:hint="cs"/>
          <w:sz w:val="24"/>
          <w:szCs w:val="24"/>
          <w:rtl/>
        </w:rPr>
        <w:t xml:space="preserve"> ב"כ התובעים </w:t>
      </w:r>
      <w:r w:rsidRPr="00983F47">
        <w:rPr>
          <w:rFonts w:ascii="David" w:hAnsi="David" w:cs="David" w:hint="cs"/>
          <w:sz w:val="24"/>
          <w:szCs w:val="24"/>
          <w:rtl/>
        </w:rPr>
        <w:t>עו"ד</w:t>
      </w:r>
      <w:r w:rsidR="00B27CB0">
        <w:rPr>
          <w:rFonts w:ascii="David" w:hAnsi="David" w:cs="David" w:hint="cs"/>
          <w:sz w:val="24"/>
          <w:szCs w:val="24"/>
          <w:rtl/>
        </w:rPr>
        <w:t xml:space="preserve"> עותמאן</w:t>
      </w:r>
      <w:r w:rsidR="00893D05">
        <w:rPr>
          <w:rFonts w:ascii="David" w:hAnsi="David" w:cs="David" w:hint="cs"/>
          <w:sz w:val="24"/>
          <w:szCs w:val="24"/>
          <w:rtl/>
        </w:rPr>
        <w:t xml:space="preserve"> והתובע </w:t>
      </w:r>
      <w:r w:rsidR="00B27CB0">
        <w:rPr>
          <w:rFonts w:ascii="David" w:hAnsi="David" w:cs="David" w:hint="cs"/>
          <w:sz w:val="24"/>
          <w:szCs w:val="24"/>
          <w:rtl/>
        </w:rPr>
        <w:t xml:space="preserve"> </w:t>
      </w:r>
      <w:r w:rsidR="00893D05">
        <w:rPr>
          <w:rFonts w:ascii="David" w:hAnsi="David" w:cs="David" w:hint="cs"/>
          <w:sz w:val="24"/>
          <w:szCs w:val="24"/>
          <w:rtl/>
        </w:rPr>
        <w:t xml:space="preserve"> </w:t>
      </w:r>
      <w:r w:rsidRPr="00983F47">
        <w:rPr>
          <w:rFonts w:ascii="David" w:hAnsi="David" w:cs="David" w:hint="cs"/>
          <w:sz w:val="24"/>
          <w:szCs w:val="24"/>
          <w:rtl/>
        </w:rPr>
        <w:t xml:space="preserve">, </w:t>
      </w:r>
      <w:r w:rsidR="00A37669">
        <w:rPr>
          <w:rFonts w:ascii="David" w:hAnsi="David" w:cs="David" w:hint="cs"/>
          <w:sz w:val="24"/>
          <w:szCs w:val="24"/>
          <w:rtl/>
        </w:rPr>
        <w:t>ב"כ</w:t>
      </w:r>
      <w:r w:rsidR="00893D05">
        <w:rPr>
          <w:rFonts w:ascii="David" w:hAnsi="David" w:cs="David" w:hint="cs"/>
          <w:sz w:val="24"/>
          <w:szCs w:val="24"/>
          <w:rtl/>
        </w:rPr>
        <w:t xml:space="preserve"> הנתבע עו"ד דרעי, הנתבעת</w:t>
      </w:r>
      <w:r w:rsidR="00A37669">
        <w:rPr>
          <w:rFonts w:ascii="David" w:hAnsi="David" w:cs="David" w:hint="cs"/>
          <w:sz w:val="24"/>
          <w:szCs w:val="24"/>
          <w:rtl/>
        </w:rPr>
        <w:t xml:space="preserve"> וב"כ </w:t>
      </w:r>
      <w:r w:rsidR="00893D05">
        <w:rPr>
          <w:rFonts w:ascii="David" w:hAnsi="David" w:cs="David" w:hint="cs"/>
          <w:sz w:val="24"/>
          <w:szCs w:val="24"/>
          <w:rtl/>
        </w:rPr>
        <w:t>עו"ד נבון</w:t>
      </w:r>
      <w:r w:rsidR="00B27CB0">
        <w:rPr>
          <w:rFonts w:ascii="David" w:hAnsi="David" w:cs="David" w:hint="cs"/>
          <w:sz w:val="24"/>
          <w:szCs w:val="24"/>
          <w:rtl/>
        </w:rPr>
        <w:t xml:space="preserve">. פרוטוקול הישיבה  </w:t>
      </w:r>
      <w:r w:rsidRPr="00B27CB0">
        <w:rPr>
          <w:rFonts w:ascii="David" w:hAnsi="David" w:cs="David" w:hint="cs"/>
          <w:sz w:val="24"/>
          <w:szCs w:val="24"/>
          <w:rtl/>
        </w:rPr>
        <w:t>הוקלט ותומלל</w:t>
      </w:r>
      <w:r w:rsidR="00B27CB0">
        <w:rPr>
          <w:rFonts w:ascii="David" w:hAnsi="David" w:cs="David" w:hint="cs"/>
          <w:sz w:val="24"/>
          <w:szCs w:val="24"/>
          <w:rtl/>
        </w:rPr>
        <w:t xml:space="preserve">. </w:t>
      </w:r>
    </w:p>
    <w:p w:rsidR="00A37669" w:rsidRDefault="00A37669" w:rsidP="002931B7">
      <w:pPr>
        <w:pStyle w:val="af"/>
        <w:spacing w:line="360" w:lineRule="auto"/>
        <w:ind w:left="360"/>
        <w:jc w:val="both"/>
        <w:rPr>
          <w:rFonts w:ascii="David" w:hAnsi="David" w:cs="David"/>
          <w:sz w:val="24"/>
          <w:szCs w:val="24"/>
          <w:rtl/>
        </w:rPr>
      </w:pPr>
      <w:r>
        <w:rPr>
          <w:rFonts w:ascii="David" w:hAnsi="David" w:cs="David" w:hint="cs"/>
          <w:sz w:val="24"/>
          <w:szCs w:val="24"/>
          <w:rtl/>
        </w:rPr>
        <w:t xml:space="preserve">הטענה לא הועלתה בזמן אמת ע"י התובעים וב"כ, הם לא ביקשו תיקון הפרוטוקול והוספת האמירה, וטענה זו הועלתה לראשונה רק לאחר מתן פסק הבורר. </w:t>
      </w:r>
    </w:p>
    <w:p w:rsidR="009B6914" w:rsidRDefault="00B27CB0" w:rsidP="002931B7">
      <w:pPr>
        <w:pStyle w:val="af"/>
        <w:spacing w:line="360" w:lineRule="auto"/>
        <w:ind w:left="360"/>
        <w:jc w:val="both"/>
        <w:rPr>
          <w:rFonts w:ascii="David" w:hAnsi="David" w:cs="David"/>
          <w:sz w:val="24"/>
          <w:szCs w:val="24"/>
          <w:rtl/>
        </w:rPr>
      </w:pPr>
      <w:r w:rsidRPr="00A37669">
        <w:rPr>
          <w:rFonts w:ascii="David" w:hAnsi="David" w:cs="David" w:hint="cs"/>
          <w:sz w:val="24"/>
          <w:szCs w:val="24"/>
          <w:u w:val="single"/>
          <w:rtl/>
        </w:rPr>
        <w:t>שנית</w:t>
      </w:r>
      <w:r>
        <w:rPr>
          <w:rFonts w:ascii="David" w:hAnsi="David" w:cs="David" w:hint="cs"/>
          <w:sz w:val="24"/>
          <w:szCs w:val="24"/>
          <w:rtl/>
        </w:rPr>
        <w:t xml:space="preserve">, </w:t>
      </w:r>
      <w:r w:rsidR="005D4E8C" w:rsidRPr="00B27CB0">
        <w:rPr>
          <w:rFonts w:ascii="David" w:hAnsi="David" w:cs="David" w:hint="cs"/>
          <w:sz w:val="24"/>
          <w:szCs w:val="24"/>
          <w:rtl/>
        </w:rPr>
        <w:t>גם בהנחה שהבוררת אמרה את הדברים המיוחסים לה, אין בכך כדי ללמד כי הבוררת מוטה לטובת הנתבעים .לא</w:t>
      </w:r>
      <w:r>
        <w:rPr>
          <w:rFonts w:ascii="David" w:hAnsi="David" w:cs="David" w:hint="cs"/>
          <w:sz w:val="24"/>
          <w:szCs w:val="24"/>
          <w:rtl/>
        </w:rPr>
        <w:t xml:space="preserve"> ברור נסיבות והקשר "אמירה " זו.</w:t>
      </w:r>
      <w:r w:rsidR="00A37669">
        <w:rPr>
          <w:rFonts w:ascii="David" w:hAnsi="David" w:cs="David" w:hint="cs"/>
          <w:sz w:val="24"/>
          <w:szCs w:val="24"/>
          <w:rtl/>
        </w:rPr>
        <w:t xml:space="preserve"> </w:t>
      </w:r>
      <w:r w:rsidR="005D4E8C" w:rsidRPr="00B27CB0">
        <w:rPr>
          <w:rFonts w:ascii="David" w:hAnsi="David" w:cs="David" w:hint="cs"/>
          <w:sz w:val="24"/>
          <w:szCs w:val="24"/>
          <w:rtl/>
        </w:rPr>
        <w:t>הבוררת עצמה כנטען אמרה שאין מנוס מלכבד פס"ד.</w:t>
      </w:r>
      <w:r w:rsidR="00A37669">
        <w:rPr>
          <w:rFonts w:ascii="David" w:hAnsi="David" w:cs="David" w:hint="cs"/>
          <w:sz w:val="24"/>
          <w:szCs w:val="24"/>
          <w:rtl/>
        </w:rPr>
        <w:t xml:space="preserve"> </w:t>
      </w:r>
      <w:r w:rsidR="005D4E8C" w:rsidRPr="00B27CB0">
        <w:rPr>
          <w:rFonts w:ascii="David" w:hAnsi="David" w:cs="David" w:hint="cs"/>
          <w:sz w:val="24"/>
          <w:szCs w:val="24"/>
          <w:rtl/>
        </w:rPr>
        <w:t>ויש לדעתי לסמוך על דבריה אלה</w:t>
      </w:r>
      <w:r w:rsidR="003813F7">
        <w:rPr>
          <w:rFonts w:ascii="David" w:hAnsi="David" w:cs="David" w:hint="cs"/>
          <w:sz w:val="24"/>
          <w:szCs w:val="24"/>
          <w:rtl/>
        </w:rPr>
        <w:t>,</w:t>
      </w:r>
      <w:r w:rsidR="005D4E8C" w:rsidRPr="00B27CB0">
        <w:rPr>
          <w:rFonts w:ascii="David" w:hAnsi="David" w:cs="David" w:hint="cs"/>
          <w:sz w:val="24"/>
          <w:szCs w:val="24"/>
          <w:rtl/>
        </w:rPr>
        <w:t xml:space="preserve"> בשים לב לכך שמדובר</w:t>
      </w:r>
      <w:r w:rsidR="00A37669">
        <w:rPr>
          <w:rFonts w:ascii="David" w:hAnsi="David" w:cs="David" w:hint="cs"/>
          <w:sz w:val="24"/>
          <w:szCs w:val="24"/>
          <w:rtl/>
        </w:rPr>
        <w:t xml:space="preserve"> בבוררת מקצועית שהיא </w:t>
      </w:r>
      <w:r w:rsidR="005D4E8C" w:rsidRPr="00B27CB0">
        <w:rPr>
          <w:rFonts w:ascii="David" w:hAnsi="David" w:cs="David" w:hint="cs"/>
          <w:sz w:val="24"/>
          <w:szCs w:val="24"/>
          <w:rtl/>
        </w:rPr>
        <w:t xml:space="preserve"> שו</w:t>
      </w:r>
      <w:r w:rsidR="00A37669">
        <w:rPr>
          <w:rFonts w:ascii="David" w:hAnsi="David" w:cs="David" w:hint="cs"/>
          <w:sz w:val="24"/>
          <w:szCs w:val="24"/>
          <w:rtl/>
        </w:rPr>
        <w:t>פטת ב</w:t>
      </w:r>
      <w:r w:rsidR="005D4E8C" w:rsidRPr="00B27CB0">
        <w:rPr>
          <w:rFonts w:ascii="David" w:hAnsi="David" w:cs="David" w:hint="cs"/>
          <w:sz w:val="24"/>
          <w:szCs w:val="24"/>
          <w:rtl/>
        </w:rPr>
        <w:t>ד</w:t>
      </w:r>
      <w:r w:rsidR="00A37669">
        <w:rPr>
          <w:rFonts w:ascii="David" w:hAnsi="David" w:cs="David" w:hint="cs"/>
          <w:sz w:val="24"/>
          <w:szCs w:val="24"/>
          <w:rtl/>
        </w:rPr>
        <w:t>ימוס של בית המשפט המחוזי.</w:t>
      </w:r>
      <w:r w:rsidR="0062269F">
        <w:rPr>
          <w:rFonts w:ascii="David" w:hAnsi="David" w:cs="David" w:hint="cs"/>
          <w:sz w:val="24"/>
          <w:szCs w:val="24"/>
          <w:rtl/>
        </w:rPr>
        <w:t xml:space="preserve"> </w:t>
      </w:r>
    </w:p>
    <w:p w:rsidR="00EA0BF8" w:rsidRPr="00745AA7" w:rsidRDefault="00EA0BF8" w:rsidP="002931B7">
      <w:pPr>
        <w:pStyle w:val="af"/>
        <w:spacing w:line="360" w:lineRule="auto"/>
        <w:ind w:left="360"/>
        <w:jc w:val="both"/>
        <w:rPr>
          <w:rFonts w:ascii="David" w:hAnsi="David" w:cs="David"/>
          <w:b/>
          <w:bCs/>
          <w:sz w:val="24"/>
          <w:szCs w:val="24"/>
          <w:rtl/>
        </w:rPr>
      </w:pPr>
      <w:r w:rsidRPr="00EA0BF8">
        <w:rPr>
          <w:rFonts w:ascii="David" w:hAnsi="David" w:cs="David" w:hint="cs"/>
          <w:sz w:val="24"/>
          <w:szCs w:val="24"/>
          <w:rtl/>
        </w:rPr>
        <w:t xml:space="preserve">מה </w:t>
      </w:r>
      <w:r>
        <w:rPr>
          <w:rFonts w:ascii="David" w:hAnsi="David" w:cs="David" w:hint="cs"/>
          <w:sz w:val="24"/>
          <w:szCs w:val="24"/>
          <w:rtl/>
        </w:rPr>
        <w:t xml:space="preserve">גם שהבוררות </w:t>
      </w:r>
      <w:r w:rsidRPr="00EA0BF8">
        <w:rPr>
          <w:rFonts w:ascii="David" w:hAnsi="David" w:cs="David" w:hint="cs"/>
          <w:sz w:val="24"/>
          <w:szCs w:val="24"/>
          <w:rtl/>
        </w:rPr>
        <w:t xml:space="preserve"> ציינה מפורשות</w:t>
      </w:r>
      <w:r>
        <w:rPr>
          <w:rFonts w:ascii="David" w:hAnsi="David" w:cs="David" w:hint="cs"/>
          <w:sz w:val="24"/>
          <w:szCs w:val="24"/>
          <w:rtl/>
        </w:rPr>
        <w:t xml:space="preserve"> בפסק הבורר </w:t>
      </w:r>
      <w:r w:rsidRPr="00745AA7">
        <w:rPr>
          <w:rFonts w:ascii="David" w:hAnsi="David" w:cs="David" w:hint="cs"/>
          <w:b/>
          <w:bCs/>
          <w:sz w:val="24"/>
          <w:szCs w:val="24"/>
          <w:rtl/>
        </w:rPr>
        <w:t>:"בשולי הפסק,</w:t>
      </w:r>
      <w:r w:rsidR="00745AA7" w:rsidRPr="00745AA7">
        <w:rPr>
          <w:rFonts w:ascii="David" w:hAnsi="David" w:cs="David" w:hint="cs"/>
          <w:b/>
          <w:bCs/>
          <w:sz w:val="24"/>
          <w:szCs w:val="24"/>
          <w:rtl/>
        </w:rPr>
        <w:t xml:space="preserve"> אעיר</w:t>
      </w:r>
      <w:r w:rsidRPr="00745AA7">
        <w:rPr>
          <w:rFonts w:ascii="David" w:hAnsi="David" w:cs="David" w:hint="cs"/>
          <w:b/>
          <w:bCs/>
          <w:sz w:val="24"/>
          <w:szCs w:val="24"/>
          <w:rtl/>
        </w:rPr>
        <w:t xml:space="preserve"> כי לא ראיתי להיעתר לבקשת ב"כ הנתבעת בסיכומיו כי אבחן ו/או אבקר את הפסק הדין בערעור על קביעותיו,...אבהיר כי </w:t>
      </w:r>
      <w:r w:rsidRPr="00745AA7">
        <w:rPr>
          <w:rFonts w:ascii="David" w:hAnsi="David" w:cs="David"/>
          <w:b/>
          <w:bCs/>
          <w:sz w:val="24"/>
          <w:szCs w:val="24"/>
          <w:rtl/>
        </w:rPr>
        <w:t>אינני יושבת כערכאת ערעור בהליך זה</w:t>
      </w:r>
      <w:r w:rsidRPr="00745AA7">
        <w:rPr>
          <w:rFonts w:ascii="David" w:hAnsi="David" w:cs="David" w:hint="cs"/>
          <w:b/>
          <w:bCs/>
          <w:sz w:val="24"/>
          <w:szCs w:val="24"/>
          <w:rtl/>
        </w:rPr>
        <w:t>.</w:t>
      </w:r>
      <w:r w:rsidR="00745AA7" w:rsidRPr="00745AA7">
        <w:rPr>
          <w:rFonts w:ascii="David" w:hAnsi="David" w:cs="David" w:hint="cs"/>
          <w:b/>
          <w:bCs/>
          <w:sz w:val="24"/>
          <w:szCs w:val="24"/>
          <w:rtl/>
        </w:rPr>
        <w:t xml:space="preserve"> </w:t>
      </w:r>
      <w:r w:rsidRPr="00745AA7">
        <w:rPr>
          <w:rFonts w:ascii="David" w:hAnsi="David" w:cs="David"/>
          <w:b/>
          <w:bCs/>
          <w:sz w:val="24"/>
          <w:szCs w:val="24"/>
          <w:rtl/>
        </w:rPr>
        <w:t>אין חולק כי</w:t>
      </w:r>
      <w:r w:rsidR="00745AA7" w:rsidRPr="00745AA7">
        <w:rPr>
          <w:rFonts w:ascii="David" w:hAnsi="David" w:cs="David"/>
          <w:b/>
          <w:bCs/>
          <w:sz w:val="24"/>
          <w:szCs w:val="24"/>
          <w:rtl/>
        </w:rPr>
        <w:t xml:space="preserve"> פסק הדין בערעור  (שאושר גם </w:t>
      </w:r>
      <w:r w:rsidRPr="00745AA7">
        <w:rPr>
          <w:rFonts w:ascii="David" w:hAnsi="David" w:cs="David"/>
          <w:b/>
          <w:bCs/>
          <w:sz w:val="24"/>
          <w:szCs w:val="24"/>
          <w:rtl/>
        </w:rPr>
        <w:t xml:space="preserve"> בבית המשפט העליון),הפך חלוט ואינו ניתן לערער כלל".</w:t>
      </w:r>
    </w:p>
    <w:p w:rsidR="00B27CB0" w:rsidRDefault="009B6914" w:rsidP="002931B7">
      <w:pPr>
        <w:pStyle w:val="af"/>
        <w:spacing w:line="360" w:lineRule="auto"/>
        <w:ind w:left="360"/>
        <w:jc w:val="both"/>
        <w:rPr>
          <w:rFonts w:ascii="David" w:hAnsi="David" w:cs="David"/>
          <w:sz w:val="24"/>
          <w:szCs w:val="24"/>
          <w:rtl/>
        </w:rPr>
      </w:pPr>
      <w:r>
        <w:rPr>
          <w:rFonts w:ascii="David" w:hAnsi="David" w:cs="David" w:hint="cs"/>
          <w:sz w:val="24"/>
          <w:szCs w:val="24"/>
          <w:u w:val="single"/>
          <w:rtl/>
        </w:rPr>
        <w:t>שלישית</w:t>
      </w:r>
      <w:r w:rsidR="0031596A">
        <w:rPr>
          <w:rFonts w:ascii="David" w:hAnsi="David" w:cs="David" w:hint="cs"/>
          <w:sz w:val="24"/>
          <w:szCs w:val="24"/>
          <w:u w:val="single"/>
          <w:rtl/>
        </w:rPr>
        <w:t xml:space="preserve">, </w:t>
      </w:r>
      <w:r w:rsidR="0062269F">
        <w:rPr>
          <w:rFonts w:ascii="David" w:hAnsi="David" w:cs="David" w:hint="cs"/>
          <w:sz w:val="24"/>
          <w:szCs w:val="24"/>
          <w:rtl/>
        </w:rPr>
        <w:t xml:space="preserve">גם מעיון בפסק הבוררות עולה </w:t>
      </w:r>
      <w:r>
        <w:rPr>
          <w:rFonts w:ascii="David" w:hAnsi="David" w:cs="David" w:hint="cs"/>
          <w:sz w:val="24"/>
          <w:szCs w:val="24"/>
          <w:rtl/>
        </w:rPr>
        <w:t>כ</w:t>
      </w:r>
      <w:r w:rsidR="003813F7">
        <w:rPr>
          <w:rFonts w:ascii="David" w:hAnsi="David" w:cs="David" w:hint="cs"/>
          <w:sz w:val="24"/>
          <w:szCs w:val="24"/>
          <w:rtl/>
        </w:rPr>
        <w:t>י נשמרו הזכויות של התובעים בנכס</w:t>
      </w:r>
      <w:r>
        <w:rPr>
          <w:rFonts w:ascii="David" w:hAnsi="David" w:cs="David" w:hint="cs"/>
          <w:sz w:val="24"/>
          <w:szCs w:val="24"/>
          <w:rtl/>
        </w:rPr>
        <w:t xml:space="preserve">, הבוררת קיבלה טענת התובעים </w:t>
      </w:r>
      <w:r w:rsidR="003813F7">
        <w:rPr>
          <w:rFonts w:ascii="David" w:hAnsi="David" w:cs="David" w:hint="cs"/>
          <w:sz w:val="24"/>
          <w:szCs w:val="24"/>
          <w:rtl/>
        </w:rPr>
        <w:t xml:space="preserve">לפירוק השיתוף בזכויות על אף שטרם נרשמו כבעלים של הנכס, קיבלה טענות התובעים </w:t>
      </w:r>
      <w:r>
        <w:rPr>
          <w:rFonts w:ascii="David" w:hAnsi="David" w:cs="David" w:hint="cs"/>
          <w:sz w:val="24"/>
          <w:szCs w:val="24"/>
          <w:rtl/>
        </w:rPr>
        <w:t xml:space="preserve">לשום שווי הנכס נכון לשנת 2016 ולא לשנת 2004,וכן  להכליל בשווי הנכס את זכויות הבניה ,ודחתה טענת </w:t>
      </w:r>
      <w:r w:rsidR="0031596A">
        <w:rPr>
          <w:rFonts w:ascii="David" w:hAnsi="David" w:cs="David" w:hint="cs"/>
          <w:sz w:val="24"/>
          <w:szCs w:val="24"/>
          <w:rtl/>
        </w:rPr>
        <w:t>הנתבעים לפיה חלקם של התובעים צרי</w:t>
      </w:r>
      <w:r>
        <w:rPr>
          <w:rFonts w:ascii="David" w:hAnsi="David" w:cs="David" w:hint="cs"/>
          <w:sz w:val="24"/>
          <w:szCs w:val="24"/>
          <w:rtl/>
        </w:rPr>
        <w:t>ך להיגזר מ 50% הזכויות בלבד</w:t>
      </w:r>
      <w:r w:rsidR="003813F7">
        <w:rPr>
          <w:rFonts w:ascii="David" w:hAnsi="David" w:cs="David" w:hint="cs"/>
          <w:sz w:val="24"/>
          <w:szCs w:val="24"/>
          <w:rtl/>
        </w:rPr>
        <w:t>.</w:t>
      </w:r>
    </w:p>
    <w:p w:rsidR="005D4E8C" w:rsidRPr="00B27CB0" w:rsidRDefault="0031596A" w:rsidP="002931B7">
      <w:pPr>
        <w:pStyle w:val="af"/>
        <w:spacing w:line="360" w:lineRule="auto"/>
        <w:ind w:left="360"/>
        <w:jc w:val="both"/>
        <w:rPr>
          <w:rFonts w:ascii="David" w:hAnsi="David" w:cs="David"/>
          <w:sz w:val="24"/>
          <w:szCs w:val="24"/>
          <w:rtl/>
        </w:rPr>
      </w:pPr>
      <w:r>
        <w:rPr>
          <w:rFonts w:ascii="David" w:hAnsi="David" w:cs="David" w:hint="cs"/>
          <w:sz w:val="24"/>
          <w:szCs w:val="24"/>
          <w:u w:val="single"/>
          <w:rtl/>
        </w:rPr>
        <w:t>רביעית</w:t>
      </w:r>
      <w:r w:rsidR="00B27CB0">
        <w:rPr>
          <w:rFonts w:ascii="David" w:hAnsi="David" w:cs="David" w:hint="cs"/>
          <w:sz w:val="24"/>
          <w:szCs w:val="24"/>
          <w:rtl/>
        </w:rPr>
        <w:t>,</w:t>
      </w:r>
      <w:r w:rsidR="00A37669">
        <w:rPr>
          <w:rFonts w:ascii="David" w:hAnsi="David" w:cs="David" w:hint="cs"/>
          <w:sz w:val="24"/>
          <w:szCs w:val="24"/>
          <w:rtl/>
        </w:rPr>
        <w:t xml:space="preserve"> </w:t>
      </w:r>
      <w:r w:rsidR="005D4E8C" w:rsidRPr="00B27CB0">
        <w:rPr>
          <w:rFonts w:ascii="David" w:hAnsi="David" w:cs="David" w:hint="cs"/>
          <w:sz w:val="24"/>
          <w:szCs w:val="24"/>
          <w:rtl/>
        </w:rPr>
        <w:t>כל טענות התובעים בעני</w:t>
      </w:r>
      <w:r w:rsidR="00B27CB0">
        <w:rPr>
          <w:rFonts w:ascii="David" w:hAnsi="David" w:cs="David" w:hint="cs"/>
          <w:sz w:val="24"/>
          <w:szCs w:val="24"/>
          <w:rtl/>
        </w:rPr>
        <w:t>י</w:t>
      </w:r>
      <w:r w:rsidR="005D4E8C" w:rsidRPr="00B27CB0">
        <w:rPr>
          <w:rFonts w:ascii="David" w:hAnsi="David" w:cs="David" w:hint="cs"/>
          <w:sz w:val="24"/>
          <w:szCs w:val="24"/>
          <w:rtl/>
        </w:rPr>
        <w:t>ן התנהלות הבוררת, המבוססות, על אמירה זו של הבוררת (לרבות טענות כי הבוררת, סימנה את התוצאה אליה בקשה להגיע,  כדי "לנט</w:t>
      </w:r>
      <w:r w:rsidR="00B27CB0">
        <w:rPr>
          <w:rFonts w:ascii="David" w:hAnsi="David" w:cs="David" w:hint="cs"/>
          <w:sz w:val="24"/>
          <w:szCs w:val="24"/>
          <w:rtl/>
        </w:rPr>
        <w:t>ר</w:t>
      </w:r>
      <w:r w:rsidR="005D4E8C" w:rsidRPr="00B27CB0">
        <w:rPr>
          <w:rFonts w:ascii="David" w:hAnsi="David" w:cs="David" w:hint="cs"/>
          <w:sz w:val="24"/>
          <w:szCs w:val="24"/>
          <w:rtl/>
        </w:rPr>
        <w:t>ל" קביעת ביהמ</w:t>
      </w:r>
      <w:r w:rsidR="00B27CB0">
        <w:rPr>
          <w:rFonts w:ascii="David" w:hAnsi="David" w:cs="David" w:hint="cs"/>
          <w:sz w:val="24"/>
          <w:szCs w:val="24"/>
          <w:rtl/>
        </w:rPr>
        <w:t>"ש המחוזי</w:t>
      </w:r>
      <w:r w:rsidR="005D4E8C" w:rsidRPr="00B27CB0">
        <w:rPr>
          <w:rFonts w:ascii="David" w:hAnsi="David" w:cs="David" w:hint="cs"/>
          <w:sz w:val="24"/>
          <w:szCs w:val="24"/>
          <w:rtl/>
        </w:rPr>
        <w:t>)</w:t>
      </w:r>
      <w:r w:rsidR="005D4E8C" w:rsidRPr="00B27CB0">
        <w:rPr>
          <w:rFonts w:ascii="David" w:hAnsi="David" w:cs="David" w:hint="cs"/>
          <w:b/>
          <w:bCs/>
          <w:sz w:val="24"/>
          <w:szCs w:val="24"/>
          <w:rtl/>
        </w:rPr>
        <w:t>,</w:t>
      </w:r>
      <w:r w:rsidR="005D4E8C" w:rsidRPr="00B27CB0">
        <w:rPr>
          <w:rFonts w:ascii="David" w:hAnsi="David" w:cs="David" w:hint="cs"/>
          <w:sz w:val="24"/>
          <w:szCs w:val="24"/>
          <w:rtl/>
        </w:rPr>
        <w:t xml:space="preserve"> אינם אלא השערות </w:t>
      </w:r>
      <w:r w:rsidR="00A37669" w:rsidRPr="00B27CB0">
        <w:rPr>
          <w:rFonts w:ascii="David" w:hAnsi="David" w:cs="David" w:hint="cs"/>
          <w:sz w:val="24"/>
          <w:szCs w:val="24"/>
          <w:rtl/>
        </w:rPr>
        <w:t>וספקולציות</w:t>
      </w:r>
      <w:r w:rsidR="00A37669">
        <w:rPr>
          <w:rFonts w:ascii="David" w:hAnsi="David" w:cs="David" w:hint="cs"/>
          <w:sz w:val="24"/>
          <w:szCs w:val="24"/>
          <w:rtl/>
        </w:rPr>
        <w:t xml:space="preserve"> מרחיקות לכת, נעדרות כל בסיס;</w:t>
      </w:r>
      <w:r w:rsidR="005D4E8C" w:rsidRPr="00B27CB0">
        <w:rPr>
          <w:rFonts w:ascii="David" w:hAnsi="David" w:cs="David" w:hint="cs"/>
          <w:sz w:val="24"/>
          <w:szCs w:val="24"/>
          <w:rtl/>
        </w:rPr>
        <w:t xml:space="preserve"> ודומה כי התובעים הגזימו  בכך. הדברים נכונים במיוחד על רקע מסקנתי לעיל, כי אין כל סתירה בין פסק הבוררת לבין פסק הדין </w:t>
      </w:r>
      <w:r w:rsidR="00A37669">
        <w:rPr>
          <w:rFonts w:ascii="David" w:hAnsi="David" w:cs="David" w:hint="cs"/>
          <w:sz w:val="24"/>
          <w:szCs w:val="24"/>
          <w:rtl/>
        </w:rPr>
        <w:t xml:space="preserve">של ביהמ"ש </w:t>
      </w:r>
      <w:r w:rsidR="005D4E8C" w:rsidRPr="00B27CB0">
        <w:rPr>
          <w:rFonts w:ascii="David" w:hAnsi="David" w:cs="David" w:hint="cs"/>
          <w:sz w:val="24"/>
          <w:szCs w:val="24"/>
          <w:rtl/>
        </w:rPr>
        <w:t>המחוזי,  והעדר כל עילה לביטול פסק הבוררת.</w:t>
      </w:r>
    </w:p>
    <w:p w:rsidR="00745AA7" w:rsidRDefault="00745AA7" w:rsidP="002931B7">
      <w:pPr>
        <w:spacing w:line="360" w:lineRule="auto"/>
        <w:jc w:val="both"/>
        <w:rPr>
          <w:rFonts w:ascii="David" w:hAnsi="David"/>
          <w:u w:val="single"/>
          <w:rtl/>
        </w:rPr>
      </w:pPr>
    </w:p>
    <w:p w:rsidR="009F1523" w:rsidRPr="00745AA7" w:rsidRDefault="00745AA7" w:rsidP="002931B7">
      <w:pPr>
        <w:spacing w:line="360" w:lineRule="auto"/>
        <w:jc w:val="both"/>
        <w:rPr>
          <w:rFonts w:ascii="David" w:hAnsi="David"/>
          <w:u w:val="single"/>
        </w:rPr>
      </w:pPr>
      <w:r>
        <w:rPr>
          <w:rFonts w:ascii="David" w:hAnsi="David"/>
          <w:u w:val="single"/>
          <w:rtl/>
        </w:rPr>
        <w:t>הכרות אישית-</w:t>
      </w:r>
      <w:r w:rsidRPr="00745AA7">
        <w:rPr>
          <w:rFonts w:ascii="David" w:hAnsi="David"/>
          <w:u w:val="single"/>
          <w:rtl/>
        </w:rPr>
        <w:t>סידור תיק-</w:t>
      </w:r>
    </w:p>
    <w:p w:rsidR="0031596A" w:rsidRDefault="0031596A" w:rsidP="002931B7">
      <w:pPr>
        <w:pStyle w:val="af"/>
        <w:numPr>
          <w:ilvl w:val="0"/>
          <w:numId w:val="2"/>
        </w:numPr>
        <w:spacing w:line="360" w:lineRule="auto"/>
        <w:jc w:val="both"/>
        <w:rPr>
          <w:rFonts w:ascii="David" w:hAnsi="David" w:cs="David"/>
          <w:sz w:val="24"/>
          <w:szCs w:val="24"/>
        </w:rPr>
      </w:pPr>
      <w:r w:rsidRPr="00BE4F39">
        <w:rPr>
          <w:rFonts w:ascii="David" w:hAnsi="David" w:cs="David"/>
          <w:sz w:val="24"/>
          <w:szCs w:val="24"/>
          <w:rtl/>
        </w:rPr>
        <w:t>לשיטת התובעים, הבוררת פנתה לנתבעת2</w:t>
      </w:r>
      <w:r w:rsidR="00BE4F39" w:rsidRPr="00BE4F39">
        <w:rPr>
          <w:rFonts w:ascii="David" w:hAnsi="David" w:cs="David" w:hint="cs"/>
          <w:sz w:val="24"/>
          <w:szCs w:val="24"/>
          <w:rtl/>
        </w:rPr>
        <w:t xml:space="preserve"> </w:t>
      </w:r>
      <w:r w:rsidRPr="00BE4F39">
        <w:rPr>
          <w:rFonts w:ascii="David" w:hAnsi="David" w:cs="David"/>
          <w:sz w:val="24"/>
          <w:szCs w:val="24"/>
          <w:rtl/>
        </w:rPr>
        <w:t>, עו"ד במקצועה, במהלך ישיבת13/12/18, בפנייה אישית, אשר ניכר ממנה כי יש בין השתיים היכרות אישית, ובקשה ממנה להגיע למשרדה, לאחר הישיבה ובמועד אחר, על מנת ש"תסדר לה" את תיק המוצגים שבתיק. בפרוטוקול הדיון נכתב כי הדבר בוצע בהסכמת הצדדים ולא היא. הם לא רצו. אבל לאור פניית הבוררת כאמור, לא היה בפניהם מנוס</w:t>
      </w:r>
      <w:r w:rsidR="00BE4F39">
        <w:rPr>
          <w:rFonts w:ascii="David" w:hAnsi="David" w:cs="David"/>
          <w:sz w:val="24"/>
          <w:szCs w:val="24"/>
          <w:rtl/>
        </w:rPr>
        <w:t xml:space="preserve"> מלהסכים</w:t>
      </w:r>
      <w:r w:rsidR="00BE4F39">
        <w:rPr>
          <w:rFonts w:ascii="David" w:hAnsi="David" w:cs="David" w:hint="cs"/>
          <w:sz w:val="24"/>
          <w:szCs w:val="24"/>
          <w:rtl/>
        </w:rPr>
        <w:t>.</w:t>
      </w:r>
    </w:p>
    <w:p w:rsidR="009D3F71" w:rsidRDefault="009D3F71" w:rsidP="002931B7">
      <w:pPr>
        <w:pStyle w:val="af"/>
        <w:spacing w:line="360" w:lineRule="auto"/>
        <w:ind w:left="360"/>
        <w:jc w:val="both"/>
        <w:rPr>
          <w:rFonts w:ascii="David" w:hAnsi="David" w:cs="David"/>
          <w:sz w:val="24"/>
          <w:szCs w:val="24"/>
        </w:rPr>
      </w:pPr>
    </w:p>
    <w:p w:rsidR="009D3F71" w:rsidRDefault="009D3F71"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lastRenderedPageBreak/>
        <w:t>מנגד,</w:t>
      </w:r>
      <w:r>
        <w:rPr>
          <w:rFonts w:ascii="David" w:hAnsi="David" w:cs="David"/>
          <w:sz w:val="24"/>
          <w:szCs w:val="24"/>
          <w:rtl/>
        </w:rPr>
        <w:t xml:space="preserve">הנתבעת2 בתורה הצהירה </w:t>
      </w:r>
      <w:r w:rsidR="00745AA7">
        <w:rPr>
          <w:rFonts w:ascii="David" w:hAnsi="David" w:cs="David"/>
          <w:sz w:val="24"/>
          <w:szCs w:val="24"/>
          <w:rtl/>
        </w:rPr>
        <w:t xml:space="preserve"> כי ע"פ הסכמה שניתנה </w:t>
      </w:r>
      <w:r w:rsidRPr="009D3F71">
        <w:rPr>
          <w:rFonts w:ascii="David" w:hAnsi="David" w:cs="David"/>
          <w:sz w:val="24"/>
          <w:szCs w:val="24"/>
          <w:rtl/>
        </w:rPr>
        <w:t xml:space="preserve"> ע"י כל המעורבים</w:t>
      </w:r>
      <w:r w:rsidR="00745AA7">
        <w:rPr>
          <w:rFonts w:ascii="David" w:hAnsi="David" w:cs="David" w:hint="cs"/>
          <w:sz w:val="24"/>
          <w:szCs w:val="24"/>
          <w:rtl/>
        </w:rPr>
        <w:t>,</w:t>
      </w:r>
      <w:r w:rsidRPr="009D3F71">
        <w:rPr>
          <w:rFonts w:ascii="David" w:hAnsi="David" w:cs="David"/>
          <w:sz w:val="24"/>
          <w:szCs w:val="24"/>
          <w:rtl/>
        </w:rPr>
        <w:t xml:space="preserve"> כולל התובעים ובאי כוחם, היא סייעה למזכירת הבוררת לסדר בקלסרים את כתבי בי-הדין שהוגשו לבוררת. מדובר היה</w:t>
      </w:r>
      <w:r w:rsidR="00745AA7">
        <w:rPr>
          <w:rFonts w:ascii="David" w:hAnsi="David" w:cs="David"/>
          <w:sz w:val="24"/>
          <w:szCs w:val="24"/>
          <w:rtl/>
        </w:rPr>
        <w:t xml:space="preserve"> בעניין טכני. הנתבעת 2 הצהירה </w:t>
      </w:r>
      <w:r w:rsidRPr="009D3F71">
        <w:rPr>
          <w:rFonts w:ascii="David" w:hAnsi="David" w:cs="David"/>
          <w:sz w:val="24"/>
          <w:szCs w:val="24"/>
          <w:rtl/>
        </w:rPr>
        <w:t xml:space="preserve"> כי לא הייתה שום היכרות מוקדמת בינה לבין הבוררת.</w:t>
      </w:r>
      <w:r>
        <w:rPr>
          <w:rFonts w:ascii="David" w:hAnsi="David" w:cs="David"/>
          <w:sz w:val="24"/>
          <w:szCs w:val="24"/>
          <w:rtl/>
        </w:rPr>
        <w:t xml:space="preserve">  </w:t>
      </w:r>
    </w:p>
    <w:p w:rsidR="009D3F71" w:rsidRPr="009D3F71" w:rsidRDefault="009D3F71" w:rsidP="002931B7">
      <w:pPr>
        <w:pStyle w:val="af"/>
        <w:spacing w:line="360" w:lineRule="auto"/>
        <w:ind w:left="360"/>
        <w:jc w:val="both"/>
        <w:rPr>
          <w:rFonts w:ascii="David" w:hAnsi="David" w:cs="David"/>
          <w:sz w:val="24"/>
          <w:szCs w:val="24"/>
          <w:rtl/>
        </w:rPr>
      </w:pPr>
    </w:p>
    <w:p w:rsidR="009D3F71" w:rsidRDefault="0031596A" w:rsidP="002931B7">
      <w:pPr>
        <w:pStyle w:val="af"/>
        <w:numPr>
          <w:ilvl w:val="0"/>
          <w:numId w:val="2"/>
        </w:numPr>
        <w:spacing w:line="360" w:lineRule="auto"/>
        <w:jc w:val="both"/>
        <w:rPr>
          <w:rFonts w:ascii="David" w:hAnsi="David" w:cs="David"/>
          <w:sz w:val="24"/>
          <w:szCs w:val="24"/>
        </w:rPr>
      </w:pPr>
      <w:r w:rsidRPr="009D3F71">
        <w:rPr>
          <w:rFonts w:ascii="David" w:hAnsi="David" w:cs="David"/>
          <w:sz w:val="24"/>
          <w:szCs w:val="24"/>
          <w:rtl/>
        </w:rPr>
        <w:t>התובעים לא הוכיחו כדבעי גרסתם זו.</w:t>
      </w:r>
    </w:p>
    <w:p w:rsidR="0031596A" w:rsidRDefault="0031596A" w:rsidP="002931B7">
      <w:pPr>
        <w:pStyle w:val="af"/>
        <w:spacing w:line="360" w:lineRule="auto"/>
        <w:ind w:left="360"/>
        <w:jc w:val="both"/>
        <w:rPr>
          <w:rFonts w:ascii="David" w:hAnsi="David" w:cs="David"/>
          <w:sz w:val="24"/>
          <w:szCs w:val="24"/>
          <w:rtl/>
        </w:rPr>
      </w:pPr>
      <w:r w:rsidRPr="009D3F71">
        <w:rPr>
          <w:rFonts w:ascii="David" w:hAnsi="David" w:cs="David"/>
          <w:sz w:val="24"/>
          <w:szCs w:val="24"/>
          <w:rtl/>
        </w:rPr>
        <w:t>כפי שעולה מתמליל הישיבה בפני הבוררת, ה</w:t>
      </w:r>
      <w:r w:rsidR="00BE4F39" w:rsidRPr="009D3F71">
        <w:rPr>
          <w:rFonts w:ascii="David" w:hAnsi="David" w:cs="David" w:hint="cs"/>
          <w:sz w:val="24"/>
          <w:szCs w:val="24"/>
          <w:rtl/>
        </w:rPr>
        <w:t>יי</w:t>
      </w:r>
      <w:r w:rsidRPr="009D3F71">
        <w:rPr>
          <w:rFonts w:ascii="David" w:hAnsi="David" w:cs="David"/>
          <w:sz w:val="24"/>
          <w:szCs w:val="24"/>
          <w:rtl/>
        </w:rPr>
        <w:t xml:space="preserve">תה הסכמה של הצדדים לבקשת </w:t>
      </w:r>
      <w:r w:rsidR="00BE4F39" w:rsidRPr="009D3F71">
        <w:rPr>
          <w:rFonts w:ascii="David" w:hAnsi="David" w:cs="David" w:hint="cs"/>
          <w:sz w:val="24"/>
          <w:szCs w:val="24"/>
          <w:rtl/>
        </w:rPr>
        <w:t>ה</w:t>
      </w:r>
      <w:r w:rsidRPr="009D3F71">
        <w:rPr>
          <w:rFonts w:ascii="David" w:hAnsi="David" w:cs="David"/>
          <w:sz w:val="24"/>
          <w:szCs w:val="24"/>
          <w:rtl/>
        </w:rPr>
        <w:t>בוררת, כי נתבעת2 תיעשה עם מזכירת הבוררת סדר בקלסרים במשרד הבוררת; כך נרשם בתמליל ישיב</w:t>
      </w:r>
      <w:r w:rsidR="00BE4F39" w:rsidRPr="009D3F71">
        <w:rPr>
          <w:rFonts w:ascii="David" w:hAnsi="David" w:cs="David"/>
          <w:sz w:val="24"/>
          <w:szCs w:val="24"/>
          <w:rtl/>
        </w:rPr>
        <w:t xml:space="preserve">ה מ13/12/18 (נספח2 לתביעה </w:t>
      </w:r>
      <w:r w:rsidRPr="009D3F71">
        <w:rPr>
          <w:rFonts w:ascii="David" w:hAnsi="David" w:cs="David"/>
          <w:sz w:val="24"/>
          <w:szCs w:val="24"/>
          <w:rtl/>
        </w:rPr>
        <w:t xml:space="preserve">) </w:t>
      </w:r>
      <w:r w:rsidRPr="009D3F71">
        <w:rPr>
          <w:rFonts w:ascii="David" w:hAnsi="David" w:cs="David"/>
          <w:b/>
          <w:bCs/>
          <w:sz w:val="24"/>
          <w:szCs w:val="24"/>
          <w:rtl/>
        </w:rPr>
        <w:t>:""בוררת: טוב . הצדדי</w:t>
      </w:r>
      <w:r w:rsidR="00893D05">
        <w:rPr>
          <w:rFonts w:ascii="David" w:hAnsi="David" w:cs="David"/>
          <w:b/>
          <w:bCs/>
          <w:sz w:val="24"/>
          <w:szCs w:val="24"/>
          <w:rtl/>
        </w:rPr>
        <w:t xml:space="preserve">ם הסכימו לבקשת הבוררת כי </w:t>
      </w:r>
      <w:r w:rsidR="00893D05">
        <w:rPr>
          <w:rFonts w:ascii="David" w:hAnsi="David" w:cs="David" w:hint="cs"/>
          <w:b/>
          <w:bCs/>
          <w:sz w:val="24"/>
          <w:szCs w:val="24"/>
          <w:rtl/>
        </w:rPr>
        <w:t xml:space="preserve">הנתבע </w:t>
      </w:r>
      <w:r w:rsidRPr="009D3F71">
        <w:rPr>
          <w:rFonts w:ascii="David" w:hAnsi="David" w:cs="David"/>
          <w:b/>
          <w:bCs/>
          <w:sz w:val="24"/>
          <w:szCs w:val="24"/>
          <w:rtl/>
        </w:rPr>
        <w:t>תעשה סדר בקלסרים ..וזאת היא תיעשה ביחד עם מזכירת הבוררת במשרד הבוררת..."(</w:t>
      </w:r>
      <w:r w:rsidRPr="009D3F71">
        <w:rPr>
          <w:rFonts w:ascii="David" w:hAnsi="David" w:cs="David"/>
          <w:sz w:val="24"/>
          <w:szCs w:val="24"/>
          <w:rtl/>
        </w:rPr>
        <w:t>עמ1ש8-10).</w:t>
      </w:r>
    </w:p>
    <w:p w:rsidR="00CA5A6A" w:rsidRPr="001D3731" w:rsidRDefault="00CA5A6A" w:rsidP="002931B7">
      <w:pPr>
        <w:pStyle w:val="af"/>
        <w:spacing w:line="360" w:lineRule="auto"/>
        <w:ind w:left="360"/>
        <w:jc w:val="both"/>
        <w:rPr>
          <w:rFonts w:ascii="David" w:hAnsi="David" w:cs="David"/>
          <w:sz w:val="24"/>
          <w:szCs w:val="24"/>
          <w:rtl/>
        </w:rPr>
      </w:pPr>
    </w:p>
    <w:p w:rsidR="0031596A" w:rsidRDefault="0031596A" w:rsidP="002931B7">
      <w:pPr>
        <w:pStyle w:val="af"/>
        <w:numPr>
          <w:ilvl w:val="0"/>
          <w:numId w:val="2"/>
        </w:numPr>
        <w:spacing w:line="360" w:lineRule="auto"/>
        <w:jc w:val="both"/>
        <w:rPr>
          <w:rFonts w:ascii="David" w:hAnsi="David" w:cs="David"/>
          <w:sz w:val="24"/>
          <w:szCs w:val="24"/>
        </w:rPr>
      </w:pPr>
      <w:r w:rsidRPr="0031596A">
        <w:rPr>
          <w:rFonts w:ascii="David" w:hAnsi="David" w:cs="David"/>
          <w:sz w:val="24"/>
          <w:szCs w:val="24"/>
          <w:rtl/>
        </w:rPr>
        <w:t>התובעים ניסו לערער "הסכמה" מצדם ל</w:t>
      </w:r>
      <w:r w:rsidR="00745AA7">
        <w:rPr>
          <w:rFonts w:ascii="David" w:hAnsi="David" w:cs="David" w:hint="cs"/>
          <w:sz w:val="24"/>
          <w:szCs w:val="24"/>
          <w:rtl/>
        </w:rPr>
        <w:t>"</w:t>
      </w:r>
      <w:r w:rsidRPr="0031596A">
        <w:rPr>
          <w:rFonts w:ascii="David" w:hAnsi="David" w:cs="David"/>
          <w:sz w:val="24"/>
          <w:szCs w:val="24"/>
          <w:rtl/>
        </w:rPr>
        <w:t>סידור ה</w:t>
      </w:r>
      <w:r w:rsidR="00576D29">
        <w:rPr>
          <w:rFonts w:ascii="David" w:hAnsi="David" w:cs="David"/>
          <w:sz w:val="24"/>
          <w:szCs w:val="24"/>
          <w:rtl/>
        </w:rPr>
        <w:t>תיקים" אך גרסתם לא ה</w:t>
      </w:r>
      <w:r w:rsidR="001D3731">
        <w:rPr>
          <w:rFonts w:ascii="David" w:hAnsi="David" w:cs="David" w:hint="cs"/>
          <w:sz w:val="24"/>
          <w:szCs w:val="24"/>
          <w:rtl/>
        </w:rPr>
        <w:t>י</w:t>
      </w:r>
      <w:r w:rsidR="00576D29">
        <w:rPr>
          <w:rFonts w:ascii="David" w:hAnsi="David" w:cs="David"/>
          <w:sz w:val="24"/>
          <w:szCs w:val="24"/>
          <w:rtl/>
        </w:rPr>
        <w:t>יתה קוהרנט</w:t>
      </w:r>
      <w:r w:rsidR="00576D29">
        <w:rPr>
          <w:rFonts w:ascii="David" w:hAnsi="David" w:cs="David" w:hint="cs"/>
          <w:sz w:val="24"/>
          <w:szCs w:val="24"/>
          <w:rtl/>
        </w:rPr>
        <w:t>ית,</w:t>
      </w:r>
      <w:r w:rsidR="001D3731">
        <w:rPr>
          <w:rFonts w:ascii="David" w:hAnsi="David" w:cs="David" w:hint="cs"/>
          <w:sz w:val="24"/>
          <w:szCs w:val="24"/>
          <w:rtl/>
        </w:rPr>
        <w:t xml:space="preserve"> </w:t>
      </w:r>
      <w:r w:rsidR="00576D29">
        <w:rPr>
          <w:rFonts w:ascii="David" w:hAnsi="David" w:cs="David" w:hint="cs"/>
          <w:sz w:val="24"/>
          <w:szCs w:val="24"/>
          <w:rtl/>
        </w:rPr>
        <w:t>פעם טענו כי לא הי</w:t>
      </w:r>
      <w:r w:rsidR="001D3731">
        <w:rPr>
          <w:rFonts w:ascii="David" w:hAnsi="David" w:cs="David" w:hint="cs"/>
          <w:sz w:val="24"/>
          <w:szCs w:val="24"/>
          <w:rtl/>
        </w:rPr>
        <w:t>י</w:t>
      </w:r>
      <w:r w:rsidR="00576D29">
        <w:rPr>
          <w:rFonts w:ascii="David" w:hAnsi="David" w:cs="David" w:hint="cs"/>
          <w:sz w:val="24"/>
          <w:szCs w:val="24"/>
          <w:rtl/>
        </w:rPr>
        <w:t>תה הסכמה</w:t>
      </w:r>
      <w:r w:rsidR="00745AA7">
        <w:rPr>
          <w:rFonts w:ascii="David" w:hAnsi="David" w:cs="David" w:hint="cs"/>
          <w:sz w:val="24"/>
          <w:szCs w:val="24"/>
          <w:rtl/>
        </w:rPr>
        <w:t>,</w:t>
      </w:r>
      <w:r w:rsidR="00576D29">
        <w:rPr>
          <w:rFonts w:ascii="David" w:hAnsi="David" w:cs="David" w:hint="cs"/>
          <w:sz w:val="24"/>
          <w:szCs w:val="24"/>
          <w:rtl/>
        </w:rPr>
        <w:t xml:space="preserve"> ובהמשך </w:t>
      </w:r>
      <w:r w:rsidR="001D3731">
        <w:rPr>
          <w:rFonts w:ascii="David" w:hAnsi="David" w:cs="David" w:hint="cs"/>
          <w:sz w:val="24"/>
          <w:szCs w:val="24"/>
          <w:rtl/>
        </w:rPr>
        <w:t>טענו</w:t>
      </w:r>
      <w:r w:rsidR="00576D29" w:rsidRPr="00576D29">
        <w:rPr>
          <w:rFonts w:ascii="David" w:hAnsi="David" w:cs="David"/>
          <w:sz w:val="24"/>
          <w:szCs w:val="24"/>
          <w:rtl/>
        </w:rPr>
        <w:t xml:space="preserve"> כי מדובר בהסכמה מאולצת לא חופשית</w:t>
      </w:r>
      <w:r w:rsidR="00745AA7">
        <w:rPr>
          <w:rFonts w:ascii="David" w:hAnsi="David" w:cs="David" w:hint="cs"/>
          <w:sz w:val="24"/>
          <w:szCs w:val="24"/>
          <w:rtl/>
        </w:rPr>
        <w:t>,</w:t>
      </w:r>
      <w:r w:rsidR="00576D29" w:rsidRPr="00576D29">
        <w:rPr>
          <w:rFonts w:ascii="David" w:hAnsi="David" w:cs="David"/>
          <w:sz w:val="24"/>
          <w:szCs w:val="24"/>
          <w:rtl/>
        </w:rPr>
        <w:t xml:space="preserve"> נוכח המעמד בפני בוררת </w:t>
      </w:r>
      <w:r w:rsidR="00745AA7">
        <w:rPr>
          <w:rFonts w:ascii="David" w:hAnsi="David" w:cs="David" w:hint="cs"/>
          <w:sz w:val="24"/>
          <w:szCs w:val="24"/>
          <w:rtl/>
        </w:rPr>
        <w:t xml:space="preserve">שהיא </w:t>
      </w:r>
      <w:r w:rsidR="00745AA7">
        <w:rPr>
          <w:rFonts w:ascii="David" w:hAnsi="David" w:cs="David"/>
          <w:sz w:val="24"/>
          <w:szCs w:val="24"/>
          <w:rtl/>
        </w:rPr>
        <w:t xml:space="preserve">שופטת מחוזית </w:t>
      </w:r>
      <w:r w:rsidR="00745AA7">
        <w:rPr>
          <w:rFonts w:ascii="David" w:hAnsi="David" w:cs="David" w:hint="cs"/>
          <w:sz w:val="24"/>
          <w:szCs w:val="24"/>
          <w:rtl/>
        </w:rPr>
        <w:t>בדימוס.</w:t>
      </w:r>
      <w:r w:rsidRPr="0031596A">
        <w:rPr>
          <w:rFonts w:ascii="David" w:hAnsi="David" w:cs="David"/>
          <w:sz w:val="24"/>
          <w:szCs w:val="24"/>
          <w:rtl/>
        </w:rPr>
        <w:t xml:space="preserve"> </w:t>
      </w:r>
    </w:p>
    <w:p w:rsidR="00576D29" w:rsidRPr="00576D29" w:rsidRDefault="00576D29" w:rsidP="002931B7">
      <w:pPr>
        <w:pStyle w:val="af"/>
        <w:spacing w:line="360" w:lineRule="auto"/>
        <w:ind w:left="360"/>
        <w:jc w:val="both"/>
        <w:rPr>
          <w:rFonts w:ascii="David" w:hAnsi="David" w:cs="David"/>
          <w:sz w:val="24"/>
          <w:szCs w:val="24"/>
          <w:rtl/>
        </w:rPr>
      </w:pPr>
      <w:r>
        <w:rPr>
          <w:rFonts w:ascii="David" w:hAnsi="David" w:cs="David"/>
          <w:sz w:val="24"/>
          <w:szCs w:val="24"/>
          <w:rtl/>
        </w:rPr>
        <w:t xml:space="preserve"> עו"ד עותמאן נחקר </w:t>
      </w:r>
      <w:r w:rsidRPr="00576D29">
        <w:rPr>
          <w:rFonts w:ascii="David" w:hAnsi="David" w:cs="David"/>
          <w:sz w:val="24"/>
          <w:szCs w:val="24"/>
          <w:rtl/>
        </w:rPr>
        <w:t>ובסוף אישר שה</w:t>
      </w:r>
      <w:r>
        <w:rPr>
          <w:rFonts w:ascii="David" w:hAnsi="David" w:cs="David" w:hint="cs"/>
          <w:sz w:val="24"/>
          <w:szCs w:val="24"/>
          <w:rtl/>
        </w:rPr>
        <w:t>יי</w:t>
      </w:r>
      <w:r w:rsidRPr="00576D29">
        <w:rPr>
          <w:rFonts w:ascii="David" w:hAnsi="David" w:cs="David"/>
          <w:sz w:val="24"/>
          <w:szCs w:val="24"/>
          <w:rtl/>
        </w:rPr>
        <w:t>תה הסכמה:</w:t>
      </w:r>
    </w:p>
    <w:p w:rsidR="00576D29" w:rsidRPr="001D3731" w:rsidRDefault="00576D29" w:rsidP="00893D05">
      <w:pPr>
        <w:pStyle w:val="af"/>
        <w:spacing w:line="360" w:lineRule="auto"/>
        <w:ind w:left="360"/>
        <w:jc w:val="both"/>
        <w:rPr>
          <w:rFonts w:ascii="David" w:hAnsi="David" w:cs="David"/>
          <w:b/>
          <w:bCs/>
          <w:sz w:val="24"/>
          <w:szCs w:val="24"/>
          <w:rtl/>
        </w:rPr>
      </w:pPr>
      <w:r w:rsidRPr="001D3731">
        <w:rPr>
          <w:rFonts w:ascii="David" w:hAnsi="David" w:cs="David"/>
          <w:b/>
          <w:bCs/>
          <w:sz w:val="24"/>
          <w:szCs w:val="24"/>
          <w:rtl/>
        </w:rPr>
        <w:t>"</w:t>
      </w:r>
      <w:r w:rsidRPr="001D3731">
        <w:rPr>
          <w:rFonts w:ascii="David" w:hAnsi="David" w:cs="David" w:hint="cs"/>
          <w:b/>
          <w:bCs/>
          <w:sz w:val="24"/>
          <w:szCs w:val="24"/>
          <w:rtl/>
        </w:rPr>
        <w:t>ש</w:t>
      </w:r>
      <w:r w:rsidRPr="001D3731">
        <w:rPr>
          <w:rFonts w:ascii="David" w:hAnsi="David" w:cs="David"/>
          <w:b/>
          <w:bCs/>
          <w:sz w:val="24"/>
          <w:szCs w:val="24"/>
          <w:rtl/>
        </w:rPr>
        <w:t>. אתה אמר שמה שכ</w:t>
      </w:r>
      <w:r w:rsidR="00893D05">
        <w:rPr>
          <w:rFonts w:ascii="David" w:hAnsi="David" w:cs="David"/>
          <w:b/>
          <w:bCs/>
          <w:sz w:val="24"/>
          <w:szCs w:val="24"/>
          <w:rtl/>
        </w:rPr>
        <w:t>תוב בפרוטוקול, שיש הסכמה ש</w:t>
      </w:r>
      <w:r w:rsidR="00893D05">
        <w:rPr>
          <w:rFonts w:ascii="David" w:hAnsi="David" w:cs="David" w:hint="cs"/>
          <w:b/>
          <w:bCs/>
          <w:sz w:val="24"/>
          <w:szCs w:val="24"/>
          <w:rtl/>
        </w:rPr>
        <w:t xml:space="preserve">הנתבעת </w:t>
      </w:r>
      <w:r w:rsidRPr="001D3731">
        <w:rPr>
          <w:rFonts w:ascii="David" w:hAnsi="David" w:cs="David"/>
          <w:b/>
          <w:bCs/>
          <w:sz w:val="24"/>
          <w:szCs w:val="24"/>
          <w:rtl/>
        </w:rPr>
        <w:t xml:space="preserve">תסדר את התיק עם המזכירה </w:t>
      </w:r>
    </w:p>
    <w:p w:rsidR="00576D29" w:rsidRPr="001D3731" w:rsidRDefault="00CA5A6A" w:rsidP="002931B7">
      <w:pPr>
        <w:pStyle w:val="af"/>
        <w:spacing w:line="360" w:lineRule="auto"/>
        <w:ind w:left="360"/>
        <w:jc w:val="both"/>
        <w:rPr>
          <w:rFonts w:ascii="David" w:hAnsi="David" w:cs="David"/>
          <w:b/>
          <w:bCs/>
          <w:sz w:val="24"/>
          <w:szCs w:val="24"/>
          <w:rtl/>
        </w:rPr>
      </w:pPr>
      <w:r>
        <w:rPr>
          <w:rFonts w:ascii="David" w:hAnsi="David" w:cs="David" w:hint="cs"/>
          <w:b/>
          <w:bCs/>
          <w:sz w:val="24"/>
          <w:szCs w:val="24"/>
          <w:rtl/>
        </w:rPr>
        <w:t xml:space="preserve">  </w:t>
      </w:r>
      <w:r w:rsidR="00576D29" w:rsidRPr="001D3731">
        <w:rPr>
          <w:rFonts w:ascii="David" w:hAnsi="David" w:cs="David" w:hint="cs"/>
          <w:b/>
          <w:bCs/>
          <w:sz w:val="24"/>
          <w:szCs w:val="24"/>
          <w:rtl/>
        </w:rPr>
        <w:t xml:space="preserve">   </w:t>
      </w:r>
      <w:r w:rsidR="00576D29" w:rsidRPr="001D3731">
        <w:rPr>
          <w:rFonts w:ascii="David" w:hAnsi="David" w:cs="David"/>
          <w:b/>
          <w:bCs/>
          <w:sz w:val="24"/>
          <w:szCs w:val="24"/>
          <w:rtl/>
        </w:rPr>
        <w:t>של השופטת, זה לא נכון?</w:t>
      </w:r>
    </w:p>
    <w:p w:rsidR="00576D29" w:rsidRPr="001D3731" w:rsidRDefault="00576D29" w:rsidP="002931B7">
      <w:pPr>
        <w:pStyle w:val="af"/>
        <w:spacing w:line="360" w:lineRule="auto"/>
        <w:ind w:left="360"/>
        <w:jc w:val="both"/>
        <w:rPr>
          <w:rFonts w:ascii="David" w:hAnsi="David" w:cs="David"/>
          <w:b/>
          <w:bCs/>
          <w:sz w:val="24"/>
          <w:szCs w:val="24"/>
          <w:rtl/>
        </w:rPr>
      </w:pPr>
      <w:r w:rsidRPr="001D3731">
        <w:rPr>
          <w:rFonts w:ascii="David" w:hAnsi="David" w:cs="David"/>
          <w:b/>
          <w:bCs/>
          <w:sz w:val="24"/>
          <w:szCs w:val="24"/>
          <w:rtl/>
        </w:rPr>
        <w:t>ת. אני אומר שכל מה שכתוב בפרוטו</w:t>
      </w:r>
      <w:r w:rsidRPr="001D3731">
        <w:rPr>
          <w:rFonts w:ascii="David" w:hAnsi="David" w:cs="David" w:hint="cs"/>
          <w:b/>
          <w:bCs/>
          <w:sz w:val="24"/>
          <w:szCs w:val="24"/>
          <w:rtl/>
        </w:rPr>
        <w:t>קו</w:t>
      </w:r>
      <w:r w:rsidRPr="001D3731">
        <w:rPr>
          <w:rFonts w:ascii="David" w:hAnsi="David" w:cs="David"/>
          <w:b/>
          <w:bCs/>
          <w:sz w:val="24"/>
          <w:szCs w:val="24"/>
          <w:rtl/>
        </w:rPr>
        <w:t>ל נכון, אך הפרוט</w:t>
      </w:r>
      <w:r w:rsidRPr="001D3731">
        <w:rPr>
          <w:rFonts w:ascii="David" w:hAnsi="David" w:cs="David" w:hint="cs"/>
          <w:b/>
          <w:bCs/>
          <w:sz w:val="24"/>
          <w:szCs w:val="24"/>
          <w:rtl/>
        </w:rPr>
        <w:t>ו</w:t>
      </w:r>
      <w:r w:rsidRPr="001D3731">
        <w:rPr>
          <w:rFonts w:ascii="David" w:hAnsi="David" w:cs="David"/>
          <w:b/>
          <w:bCs/>
          <w:sz w:val="24"/>
          <w:szCs w:val="24"/>
          <w:rtl/>
        </w:rPr>
        <w:t>קול הזה חסר</w:t>
      </w:r>
    </w:p>
    <w:p w:rsidR="00576D29" w:rsidRPr="001D3731" w:rsidRDefault="00576D29" w:rsidP="002931B7">
      <w:pPr>
        <w:pStyle w:val="af"/>
        <w:spacing w:line="360" w:lineRule="auto"/>
        <w:ind w:left="360"/>
        <w:jc w:val="both"/>
        <w:rPr>
          <w:rFonts w:ascii="David" w:hAnsi="David" w:cs="David"/>
          <w:b/>
          <w:bCs/>
          <w:sz w:val="24"/>
          <w:szCs w:val="24"/>
          <w:rtl/>
        </w:rPr>
      </w:pPr>
      <w:r w:rsidRPr="001D3731">
        <w:rPr>
          <w:rFonts w:ascii="David" w:hAnsi="David" w:cs="David"/>
          <w:b/>
          <w:bCs/>
          <w:sz w:val="24"/>
          <w:szCs w:val="24"/>
          <w:rtl/>
        </w:rPr>
        <w:t>ש. אז הייתה הסכמה?</w:t>
      </w:r>
    </w:p>
    <w:p w:rsidR="00893D05" w:rsidRDefault="00576D29" w:rsidP="00893D05">
      <w:pPr>
        <w:pStyle w:val="af"/>
        <w:spacing w:line="360" w:lineRule="auto"/>
        <w:ind w:left="360"/>
        <w:jc w:val="both"/>
        <w:rPr>
          <w:rFonts w:ascii="David" w:hAnsi="David" w:cs="David"/>
          <w:b/>
          <w:bCs/>
          <w:sz w:val="24"/>
          <w:szCs w:val="24"/>
          <w:rtl/>
        </w:rPr>
      </w:pPr>
      <w:r w:rsidRPr="00576D29">
        <w:rPr>
          <w:rFonts w:ascii="David" w:hAnsi="David" w:cs="David"/>
          <w:sz w:val="24"/>
          <w:szCs w:val="24"/>
          <w:rtl/>
        </w:rPr>
        <w:t>ת</w:t>
      </w:r>
      <w:r w:rsidRPr="001D3731">
        <w:rPr>
          <w:rFonts w:ascii="David" w:hAnsi="David" w:cs="David"/>
          <w:b/>
          <w:bCs/>
          <w:sz w:val="24"/>
          <w:szCs w:val="24"/>
          <w:rtl/>
        </w:rPr>
        <w:t>. בסוף הסכמנו , אך המעמד הזה לא היה נוח לי</w:t>
      </w:r>
      <w:r w:rsidR="00893D05">
        <w:rPr>
          <w:rFonts w:ascii="David" w:hAnsi="David" w:cs="David"/>
          <w:b/>
          <w:bCs/>
          <w:sz w:val="24"/>
          <w:szCs w:val="24"/>
          <w:rtl/>
        </w:rPr>
        <w:t>. הבקשה שלה בהתחלה הייתה ש</w:t>
      </w:r>
      <w:r w:rsidR="00893D05">
        <w:rPr>
          <w:rFonts w:ascii="David" w:hAnsi="David" w:cs="David" w:hint="cs"/>
          <w:b/>
          <w:bCs/>
          <w:sz w:val="24"/>
          <w:szCs w:val="24"/>
          <w:rtl/>
        </w:rPr>
        <w:t xml:space="preserve">הנתבעת </w:t>
      </w:r>
      <w:r w:rsidRPr="001D3731">
        <w:rPr>
          <w:rFonts w:ascii="David" w:hAnsi="David" w:cs="David"/>
          <w:b/>
          <w:bCs/>
          <w:sz w:val="24"/>
          <w:szCs w:val="24"/>
          <w:rtl/>
        </w:rPr>
        <w:t xml:space="preserve"> </w:t>
      </w:r>
      <w:r w:rsidR="00893D05">
        <w:rPr>
          <w:rFonts w:ascii="David" w:hAnsi="David" w:cs="David" w:hint="cs"/>
          <w:b/>
          <w:bCs/>
          <w:sz w:val="24"/>
          <w:szCs w:val="24"/>
          <w:rtl/>
        </w:rPr>
        <w:t xml:space="preserve">  </w:t>
      </w:r>
    </w:p>
    <w:p w:rsidR="00893D05" w:rsidRDefault="00893D05" w:rsidP="00893D05">
      <w:pPr>
        <w:pStyle w:val="af"/>
        <w:spacing w:line="360" w:lineRule="auto"/>
        <w:ind w:left="360"/>
        <w:jc w:val="both"/>
        <w:rPr>
          <w:rFonts w:ascii="David" w:hAnsi="David" w:cs="David"/>
          <w:b/>
          <w:bCs/>
          <w:sz w:val="24"/>
          <w:szCs w:val="24"/>
          <w:rtl/>
        </w:rPr>
      </w:pPr>
      <w:r>
        <w:rPr>
          <w:rFonts w:ascii="David" w:hAnsi="David" w:cs="David" w:hint="cs"/>
          <w:b/>
          <w:bCs/>
          <w:sz w:val="24"/>
          <w:szCs w:val="24"/>
          <w:rtl/>
        </w:rPr>
        <w:t xml:space="preserve">     </w:t>
      </w:r>
      <w:r w:rsidR="00576D29" w:rsidRPr="001D3731">
        <w:rPr>
          <w:rFonts w:ascii="David" w:hAnsi="David" w:cs="David"/>
          <w:b/>
          <w:bCs/>
          <w:sz w:val="24"/>
          <w:szCs w:val="24"/>
          <w:rtl/>
        </w:rPr>
        <w:t xml:space="preserve">תיקח </w:t>
      </w:r>
      <w:r w:rsidR="00576D29" w:rsidRPr="00893D05">
        <w:rPr>
          <w:rFonts w:ascii="David" w:hAnsi="David" w:cs="David"/>
          <w:b/>
          <w:bCs/>
          <w:sz w:val="24"/>
          <w:szCs w:val="24"/>
          <w:rtl/>
        </w:rPr>
        <w:t xml:space="preserve">את התיקים הבית ולזאת לא הסכמנו. בסוף הסכמנו שיסדרו במשרד, אתה לא תסרב </w:t>
      </w:r>
    </w:p>
    <w:p w:rsidR="009D3F71" w:rsidRPr="00893D05" w:rsidRDefault="00893D05" w:rsidP="00893D05">
      <w:pPr>
        <w:pStyle w:val="af"/>
        <w:spacing w:line="360" w:lineRule="auto"/>
        <w:ind w:left="360"/>
        <w:jc w:val="both"/>
        <w:rPr>
          <w:rFonts w:ascii="David" w:hAnsi="David" w:cs="David"/>
          <w:b/>
          <w:bCs/>
          <w:sz w:val="24"/>
          <w:szCs w:val="24"/>
          <w:rtl/>
        </w:rPr>
      </w:pPr>
      <w:r>
        <w:rPr>
          <w:rFonts w:ascii="David" w:hAnsi="David" w:cs="David" w:hint="cs"/>
          <w:b/>
          <w:bCs/>
          <w:sz w:val="24"/>
          <w:szCs w:val="24"/>
          <w:rtl/>
        </w:rPr>
        <w:t xml:space="preserve">     </w:t>
      </w:r>
      <w:r w:rsidR="00576D29" w:rsidRPr="00893D05">
        <w:rPr>
          <w:rFonts w:ascii="David" w:hAnsi="David" w:cs="David"/>
          <w:b/>
          <w:bCs/>
          <w:sz w:val="24"/>
          <w:szCs w:val="24"/>
          <w:rtl/>
        </w:rPr>
        <w:t xml:space="preserve">להצעה </w:t>
      </w:r>
      <w:r>
        <w:rPr>
          <w:rFonts w:ascii="David" w:hAnsi="David" w:cs="David" w:hint="cs"/>
          <w:b/>
          <w:bCs/>
          <w:sz w:val="24"/>
          <w:szCs w:val="24"/>
          <w:rtl/>
        </w:rPr>
        <w:t xml:space="preserve">  </w:t>
      </w:r>
      <w:r w:rsidR="00576D29" w:rsidRPr="00893D05">
        <w:rPr>
          <w:rFonts w:ascii="David" w:hAnsi="David" w:cs="David"/>
          <w:b/>
          <w:bCs/>
          <w:sz w:val="24"/>
          <w:szCs w:val="24"/>
          <w:rtl/>
        </w:rPr>
        <w:t>של שופטת מחוזית לשעבר</w:t>
      </w:r>
      <w:r w:rsidR="00576D29" w:rsidRPr="00893D05">
        <w:rPr>
          <w:rFonts w:ascii="David" w:hAnsi="David" w:cs="David"/>
          <w:sz w:val="24"/>
          <w:szCs w:val="24"/>
          <w:rtl/>
        </w:rPr>
        <w:t>"</w:t>
      </w:r>
      <w:r w:rsidR="001D3731" w:rsidRPr="00893D05">
        <w:rPr>
          <w:rFonts w:ascii="David" w:hAnsi="David" w:cs="David"/>
          <w:sz w:val="24"/>
          <w:szCs w:val="24"/>
          <w:rtl/>
        </w:rPr>
        <w:t xml:space="preserve"> (עמ9ש32-35 עמ10ש1-3 )</w:t>
      </w:r>
      <w:r w:rsidR="001D3731" w:rsidRPr="00893D05">
        <w:rPr>
          <w:rFonts w:ascii="David" w:hAnsi="David" w:cs="David" w:hint="cs"/>
          <w:sz w:val="24"/>
          <w:szCs w:val="24"/>
          <w:rtl/>
        </w:rPr>
        <w:t>.</w:t>
      </w:r>
    </w:p>
    <w:p w:rsidR="001D3731" w:rsidRDefault="001D3731" w:rsidP="002931B7">
      <w:pPr>
        <w:pStyle w:val="af"/>
        <w:spacing w:line="360" w:lineRule="auto"/>
        <w:ind w:left="360"/>
        <w:jc w:val="both"/>
        <w:rPr>
          <w:rFonts w:ascii="David" w:hAnsi="David" w:cs="David"/>
          <w:sz w:val="24"/>
          <w:szCs w:val="24"/>
          <w:rtl/>
        </w:rPr>
      </w:pPr>
      <w:r>
        <w:rPr>
          <w:rFonts w:ascii="David" w:hAnsi="David" w:cs="David" w:hint="cs"/>
          <w:sz w:val="24"/>
          <w:szCs w:val="24"/>
          <w:rtl/>
        </w:rPr>
        <w:t>ראה גם עדות איתן-התובע:</w:t>
      </w:r>
    </w:p>
    <w:p w:rsidR="001D3731" w:rsidRPr="001D3731" w:rsidRDefault="001D3731" w:rsidP="002931B7">
      <w:pPr>
        <w:spacing w:line="360" w:lineRule="auto"/>
        <w:ind w:left="360"/>
        <w:jc w:val="both"/>
        <w:rPr>
          <w:rFonts w:ascii="David" w:hAnsi="David"/>
          <w:b/>
          <w:bCs/>
          <w:rtl/>
        </w:rPr>
      </w:pPr>
      <w:r>
        <w:rPr>
          <w:rFonts w:ascii="David" w:hAnsi="David" w:hint="cs"/>
          <w:rtl/>
        </w:rPr>
        <w:t>"</w:t>
      </w:r>
      <w:r w:rsidRPr="001D3731">
        <w:rPr>
          <w:rFonts w:ascii="David" w:hAnsi="David"/>
          <w:b/>
          <w:bCs/>
          <w:rtl/>
        </w:rPr>
        <w:t>ת. ...אני לא הסכמתי ועוה"ד שלי לא הסכים אבל לא הייתה ברירה כי הבוררת התנהלה בצורה כזו.</w:t>
      </w:r>
    </w:p>
    <w:p w:rsidR="001D3731" w:rsidRPr="001D3731" w:rsidRDefault="001D3731" w:rsidP="002931B7">
      <w:pPr>
        <w:pStyle w:val="af"/>
        <w:spacing w:line="360" w:lineRule="auto"/>
        <w:ind w:left="360"/>
        <w:jc w:val="both"/>
        <w:rPr>
          <w:rFonts w:ascii="David" w:hAnsi="David" w:cs="David"/>
          <w:b/>
          <w:bCs/>
          <w:sz w:val="24"/>
          <w:szCs w:val="24"/>
          <w:rtl/>
        </w:rPr>
      </w:pPr>
      <w:r w:rsidRPr="001D3731">
        <w:rPr>
          <w:rFonts w:ascii="David" w:hAnsi="David" w:cs="David"/>
          <w:b/>
          <w:bCs/>
          <w:sz w:val="24"/>
          <w:szCs w:val="24"/>
          <w:rtl/>
        </w:rPr>
        <w:t>ש. הבוררת אומרת הצ</w:t>
      </w:r>
      <w:r w:rsidRPr="001D3731">
        <w:rPr>
          <w:rFonts w:ascii="David" w:hAnsi="David" w:cs="David" w:hint="cs"/>
          <w:b/>
          <w:bCs/>
          <w:sz w:val="24"/>
          <w:szCs w:val="24"/>
          <w:rtl/>
        </w:rPr>
        <w:t>ד</w:t>
      </w:r>
      <w:r w:rsidRPr="001D3731">
        <w:rPr>
          <w:rFonts w:ascii="David" w:hAnsi="David" w:cs="David"/>
          <w:b/>
          <w:bCs/>
          <w:sz w:val="24"/>
          <w:szCs w:val="24"/>
          <w:rtl/>
        </w:rPr>
        <w:t>דים הסכימו..</w:t>
      </w:r>
    </w:p>
    <w:p w:rsidR="001D3731" w:rsidRPr="001D3731" w:rsidRDefault="001D3731" w:rsidP="002931B7">
      <w:pPr>
        <w:pStyle w:val="af"/>
        <w:spacing w:line="360" w:lineRule="auto"/>
        <w:ind w:left="360"/>
        <w:jc w:val="both"/>
        <w:rPr>
          <w:rFonts w:ascii="David" w:hAnsi="David" w:cs="David"/>
          <w:b/>
          <w:bCs/>
          <w:sz w:val="24"/>
          <w:szCs w:val="24"/>
          <w:rtl/>
        </w:rPr>
      </w:pPr>
      <w:r w:rsidRPr="001D3731">
        <w:rPr>
          <w:rFonts w:ascii="David" w:hAnsi="David" w:cs="David"/>
          <w:b/>
          <w:bCs/>
          <w:sz w:val="24"/>
          <w:szCs w:val="24"/>
          <w:rtl/>
        </w:rPr>
        <w:t>ת. זה לא פעם אחת שאני נתקבל ששופט או בורר כותב מה שהוא רוצה לכתוב...אני לא הסכמתי.</w:t>
      </w:r>
    </w:p>
    <w:p w:rsidR="001D3731" w:rsidRPr="001D3731" w:rsidRDefault="001D3731" w:rsidP="002931B7">
      <w:pPr>
        <w:pStyle w:val="af"/>
        <w:spacing w:line="360" w:lineRule="auto"/>
        <w:ind w:left="360"/>
        <w:jc w:val="both"/>
        <w:rPr>
          <w:rFonts w:ascii="David" w:hAnsi="David" w:cs="David"/>
          <w:b/>
          <w:bCs/>
          <w:sz w:val="24"/>
          <w:szCs w:val="24"/>
          <w:rtl/>
        </w:rPr>
      </w:pPr>
      <w:r w:rsidRPr="001D3731">
        <w:rPr>
          <w:rFonts w:ascii="David" w:hAnsi="David" w:cs="David" w:hint="cs"/>
          <w:b/>
          <w:bCs/>
          <w:sz w:val="24"/>
          <w:szCs w:val="24"/>
          <w:rtl/>
        </w:rPr>
        <w:t>ש.</w:t>
      </w:r>
      <w:r w:rsidRPr="001D3731">
        <w:rPr>
          <w:rFonts w:ascii="David" w:hAnsi="David" w:cs="David" w:hint="cs"/>
          <w:b/>
          <w:bCs/>
          <w:sz w:val="24"/>
          <w:szCs w:val="24"/>
          <w:rtl/>
        </w:rPr>
        <w:tab/>
      </w:r>
      <w:r w:rsidRPr="001D3731">
        <w:rPr>
          <w:rFonts w:ascii="David" w:hAnsi="David" w:cs="David"/>
          <w:b/>
          <w:bCs/>
          <w:sz w:val="24"/>
          <w:szCs w:val="24"/>
          <w:rtl/>
        </w:rPr>
        <w:t>עוד הירש הסכים?</w:t>
      </w:r>
    </w:p>
    <w:p w:rsidR="0031596A" w:rsidRDefault="001D3731" w:rsidP="002931B7">
      <w:pPr>
        <w:pStyle w:val="af"/>
        <w:spacing w:line="360" w:lineRule="auto"/>
        <w:ind w:left="360"/>
        <w:jc w:val="both"/>
        <w:rPr>
          <w:rFonts w:ascii="David" w:hAnsi="David" w:cs="David"/>
          <w:sz w:val="24"/>
          <w:szCs w:val="24"/>
          <w:rtl/>
        </w:rPr>
      </w:pPr>
      <w:r w:rsidRPr="001D3731">
        <w:rPr>
          <w:rFonts w:ascii="David" w:hAnsi="David" w:cs="David"/>
          <w:b/>
          <w:bCs/>
          <w:sz w:val="24"/>
          <w:szCs w:val="24"/>
          <w:rtl/>
        </w:rPr>
        <w:t>ת. מחוסר ברירה הסכים</w:t>
      </w:r>
      <w:r>
        <w:rPr>
          <w:rFonts w:ascii="David" w:hAnsi="David" w:cs="David" w:hint="cs"/>
          <w:sz w:val="24"/>
          <w:szCs w:val="24"/>
          <w:rtl/>
        </w:rPr>
        <w:t>"</w:t>
      </w:r>
      <w:r w:rsidRPr="001D3731">
        <w:rPr>
          <w:rFonts w:ascii="David" w:hAnsi="David" w:cs="David"/>
          <w:sz w:val="24"/>
          <w:szCs w:val="24"/>
          <w:rtl/>
        </w:rPr>
        <w:t xml:space="preserve"> (עמ12ש13-21</w:t>
      </w:r>
      <w:r>
        <w:rPr>
          <w:rFonts w:ascii="David" w:hAnsi="David" w:cs="David" w:hint="cs"/>
          <w:sz w:val="24"/>
          <w:szCs w:val="24"/>
          <w:rtl/>
        </w:rPr>
        <w:t>)</w:t>
      </w:r>
    </w:p>
    <w:p w:rsidR="00E5045D" w:rsidRPr="001D3731" w:rsidRDefault="00E5045D" w:rsidP="002931B7">
      <w:pPr>
        <w:pStyle w:val="af"/>
        <w:spacing w:line="360" w:lineRule="auto"/>
        <w:ind w:left="360"/>
        <w:jc w:val="both"/>
        <w:rPr>
          <w:rFonts w:ascii="David" w:hAnsi="David" w:cs="David"/>
          <w:sz w:val="24"/>
          <w:szCs w:val="24"/>
          <w:rtl/>
        </w:rPr>
      </w:pPr>
    </w:p>
    <w:p w:rsidR="00E5045D" w:rsidRDefault="0031596A" w:rsidP="002931B7">
      <w:pPr>
        <w:pStyle w:val="af"/>
        <w:numPr>
          <w:ilvl w:val="0"/>
          <w:numId w:val="2"/>
        </w:numPr>
        <w:spacing w:line="360" w:lineRule="auto"/>
        <w:jc w:val="both"/>
        <w:rPr>
          <w:rFonts w:ascii="David" w:hAnsi="David" w:cs="David"/>
          <w:sz w:val="24"/>
          <w:szCs w:val="24"/>
        </w:rPr>
      </w:pPr>
      <w:r w:rsidRPr="0031596A">
        <w:rPr>
          <w:rFonts w:ascii="David" w:hAnsi="David" w:cs="David"/>
          <w:sz w:val="24"/>
          <w:szCs w:val="24"/>
          <w:rtl/>
        </w:rPr>
        <w:t>בכל מקרה, גם אם נקבל גרסת התובעים שלא הי</w:t>
      </w:r>
      <w:r w:rsidR="008551B8">
        <w:rPr>
          <w:rFonts w:ascii="David" w:hAnsi="David" w:cs="David" w:hint="cs"/>
          <w:sz w:val="24"/>
          <w:szCs w:val="24"/>
          <w:rtl/>
        </w:rPr>
        <w:t>י</w:t>
      </w:r>
      <w:r w:rsidRPr="0031596A">
        <w:rPr>
          <w:rFonts w:ascii="David" w:hAnsi="David" w:cs="David"/>
          <w:sz w:val="24"/>
          <w:szCs w:val="24"/>
          <w:rtl/>
        </w:rPr>
        <w:t xml:space="preserve">תה הסכמה מצדם לסידור התיק, אין במקרה זה כדי ללמד על הכרות אישית בין הבוררת לבין הנתבעת2, וגם לא על התנהלות מוטה לטובת הנתבעים. דומה כי התובעים הגזימו והרחיקו לכת ללא כל בסיס. </w:t>
      </w:r>
    </w:p>
    <w:p w:rsidR="00E5045D" w:rsidRDefault="00E5045D" w:rsidP="002931B7">
      <w:pPr>
        <w:pStyle w:val="af"/>
        <w:spacing w:line="360" w:lineRule="auto"/>
        <w:ind w:left="360"/>
        <w:jc w:val="both"/>
        <w:rPr>
          <w:rFonts w:ascii="David" w:hAnsi="David" w:cs="David"/>
          <w:sz w:val="24"/>
          <w:szCs w:val="24"/>
        </w:rPr>
      </w:pPr>
    </w:p>
    <w:p w:rsidR="0031596A" w:rsidRDefault="00E5045D"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lastRenderedPageBreak/>
        <w:t>אסיף כי</w:t>
      </w:r>
      <w:r w:rsidR="00745AA7">
        <w:rPr>
          <w:rFonts w:ascii="David" w:hAnsi="David" w:cs="David" w:hint="cs"/>
          <w:sz w:val="24"/>
          <w:szCs w:val="24"/>
          <w:rtl/>
        </w:rPr>
        <w:t>,</w:t>
      </w:r>
      <w:r>
        <w:rPr>
          <w:rFonts w:ascii="David" w:hAnsi="David" w:cs="David" w:hint="cs"/>
          <w:sz w:val="24"/>
          <w:szCs w:val="24"/>
          <w:rtl/>
        </w:rPr>
        <w:t xml:space="preserve"> התובעים וב"כ לא העלו כל טענה נגד התנהלות </w:t>
      </w:r>
      <w:r w:rsidR="00745AA7">
        <w:rPr>
          <w:rFonts w:ascii="David" w:hAnsi="David" w:cs="David" w:hint="cs"/>
          <w:sz w:val="24"/>
          <w:szCs w:val="24"/>
          <w:rtl/>
        </w:rPr>
        <w:t>הבוררת בזמן אמת, והדבר מעיד כי לא ראו</w:t>
      </w:r>
      <w:r>
        <w:rPr>
          <w:rFonts w:ascii="David" w:hAnsi="David" w:cs="David" w:hint="cs"/>
          <w:sz w:val="24"/>
          <w:szCs w:val="24"/>
          <w:rtl/>
        </w:rPr>
        <w:t xml:space="preserve"> בהתנהלות זו כחריגה או כמוטה.</w:t>
      </w:r>
      <w:r w:rsidR="008551B8">
        <w:rPr>
          <w:rFonts w:ascii="David" w:hAnsi="David" w:cs="David" w:hint="cs"/>
          <w:sz w:val="24"/>
          <w:szCs w:val="24"/>
          <w:rtl/>
        </w:rPr>
        <w:t xml:space="preserve"> </w:t>
      </w:r>
      <w:r w:rsidR="0031596A" w:rsidRPr="0031596A">
        <w:rPr>
          <w:rFonts w:ascii="David" w:hAnsi="David" w:cs="David"/>
          <w:sz w:val="24"/>
          <w:szCs w:val="24"/>
          <w:rtl/>
        </w:rPr>
        <w:t>אני דוחה טענות התובעים בעני</w:t>
      </w:r>
      <w:r>
        <w:rPr>
          <w:rFonts w:ascii="David" w:hAnsi="David" w:cs="David" w:hint="cs"/>
          <w:sz w:val="24"/>
          <w:szCs w:val="24"/>
          <w:rtl/>
        </w:rPr>
        <w:t>י</w:t>
      </w:r>
      <w:r w:rsidR="0031596A" w:rsidRPr="0031596A">
        <w:rPr>
          <w:rFonts w:ascii="David" w:hAnsi="David" w:cs="David"/>
          <w:sz w:val="24"/>
          <w:szCs w:val="24"/>
          <w:rtl/>
        </w:rPr>
        <w:t>ן זה.</w:t>
      </w:r>
    </w:p>
    <w:p w:rsidR="00E5045D" w:rsidRPr="00E5045D" w:rsidRDefault="00E5045D" w:rsidP="002931B7">
      <w:pPr>
        <w:spacing w:line="360" w:lineRule="auto"/>
        <w:jc w:val="both"/>
        <w:rPr>
          <w:rFonts w:ascii="David" w:hAnsi="David"/>
          <w:u w:val="single"/>
          <w:rtl/>
        </w:rPr>
      </w:pPr>
      <w:r w:rsidRPr="00E5045D">
        <w:rPr>
          <w:rFonts w:ascii="David" w:hAnsi="David"/>
          <w:u w:val="single"/>
          <w:rtl/>
        </w:rPr>
        <w:t>קצת שוליות"</w:t>
      </w:r>
    </w:p>
    <w:p w:rsidR="00E5045D" w:rsidRPr="00E5045D" w:rsidRDefault="00E5045D"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כאמור לעיל, </w:t>
      </w:r>
      <w:r w:rsidRPr="00E5045D">
        <w:rPr>
          <w:rFonts w:ascii="David" w:hAnsi="David" w:cs="David"/>
          <w:sz w:val="24"/>
          <w:szCs w:val="24"/>
          <w:rtl/>
        </w:rPr>
        <w:t>בישיבה הראשונה  בפני הבוררת מתאריך 13/12/18, העלו הצדדים טענות בעניין סדר דיון בתביעות, תביעת לפירוק שיתוף, דמי שימוש וגם תביעה לביטול רישום, ויתר התביעות,  ,ובסוף הוסכם לדון בהתחלה בשתי תביעות פירוק שיתוף ודמי שימוש. (עמ' 7, 8 לדיון).</w:t>
      </w:r>
    </w:p>
    <w:p w:rsidR="00E5045D" w:rsidRDefault="00E5045D" w:rsidP="002931B7">
      <w:pPr>
        <w:pStyle w:val="af"/>
        <w:spacing w:line="360" w:lineRule="auto"/>
        <w:ind w:left="360"/>
        <w:jc w:val="both"/>
        <w:rPr>
          <w:rFonts w:ascii="David" w:hAnsi="David" w:cs="David"/>
          <w:sz w:val="24"/>
          <w:szCs w:val="24"/>
        </w:rPr>
      </w:pPr>
    </w:p>
    <w:p w:rsidR="00A610A0" w:rsidRDefault="00E5045D" w:rsidP="00B4086D">
      <w:pPr>
        <w:pStyle w:val="af"/>
        <w:numPr>
          <w:ilvl w:val="0"/>
          <w:numId w:val="2"/>
        </w:numPr>
        <w:spacing w:line="360" w:lineRule="auto"/>
        <w:jc w:val="both"/>
        <w:rPr>
          <w:rFonts w:ascii="David" w:hAnsi="David" w:cs="David"/>
          <w:sz w:val="24"/>
          <w:szCs w:val="24"/>
        </w:rPr>
      </w:pPr>
      <w:r w:rsidRPr="00895DC7">
        <w:rPr>
          <w:rFonts w:ascii="David" w:hAnsi="David" w:cs="David"/>
          <w:sz w:val="24"/>
          <w:szCs w:val="24"/>
          <w:rtl/>
        </w:rPr>
        <w:t>התובעים מפנים  לאמירת הבוררת בישי</w:t>
      </w:r>
      <w:r w:rsidR="00745AA7" w:rsidRPr="00895DC7">
        <w:rPr>
          <w:rFonts w:ascii="David" w:hAnsi="David" w:cs="David"/>
          <w:sz w:val="24"/>
          <w:szCs w:val="24"/>
          <w:rtl/>
        </w:rPr>
        <w:t xml:space="preserve">בה מיום 13/12/18(עמ9ש6) </w:t>
      </w:r>
      <w:r w:rsidR="00745AA7" w:rsidRPr="00895DC7">
        <w:rPr>
          <w:rFonts w:ascii="David" w:hAnsi="David" w:cs="David" w:hint="cs"/>
          <w:sz w:val="24"/>
          <w:szCs w:val="24"/>
          <w:rtl/>
        </w:rPr>
        <w:t>:"..</w:t>
      </w:r>
      <w:r w:rsidRPr="00895DC7">
        <w:rPr>
          <w:rFonts w:ascii="David" w:hAnsi="David" w:cs="David"/>
          <w:sz w:val="24"/>
          <w:szCs w:val="24"/>
          <w:rtl/>
        </w:rPr>
        <w:t xml:space="preserve"> </w:t>
      </w:r>
      <w:r w:rsidRPr="00895DC7">
        <w:rPr>
          <w:rFonts w:ascii="David" w:hAnsi="David" w:cs="David"/>
          <w:b/>
          <w:bCs/>
          <w:sz w:val="24"/>
          <w:szCs w:val="24"/>
          <w:rtl/>
        </w:rPr>
        <w:t>כל יתר התביעות הן בעיני קצת שוליות, תרשו לי"</w:t>
      </w:r>
      <w:r w:rsidR="00895DC7">
        <w:rPr>
          <w:rFonts w:ascii="David" w:hAnsi="David" w:cs="David"/>
          <w:sz w:val="24"/>
          <w:szCs w:val="24"/>
          <w:rtl/>
        </w:rPr>
        <w:t xml:space="preserve">.  </w:t>
      </w:r>
    </w:p>
    <w:p w:rsidR="00895DC7" w:rsidRPr="00895DC7" w:rsidRDefault="00895DC7" w:rsidP="00895DC7">
      <w:pPr>
        <w:pStyle w:val="af"/>
        <w:spacing w:line="360" w:lineRule="auto"/>
        <w:ind w:left="360"/>
        <w:jc w:val="both"/>
        <w:rPr>
          <w:rFonts w:ascii="David" w:hAnsi="David" w:cs="David"/>
          <w:sz w:val="24"/>
          <w:szCs w:val="24"/>
          <w:rtl/>
        </w:rPr>
      </w:pPr>
    </w:p>
    <w:p w:rsidR="00E5045D" w:rsidRDefault="00745AA7" w:rsidP="002931B7">
      <w:pPr>
        <w:pStyle w:val="af"/>
        <w:numPr>
          <w:ilvl w:val="0"/>
          <w:numId w:val="2"/>
        </w:numPr>
        <w:spacing w:line="360" w:lineRule="auto"/>
        <w:jc w:val="both"/>
        <w:rPr>
          <w:rFonts w:ascii="David" w:hAnsi="David" w:cs="David"/>
          <w:sz w:val="24"/>
          <w:szCs w:val="24"/>
        </w:rPr>
      </w:pPr>
      <w:r>
        <w:rPr>
          <w:rFonts w:ascii="David" w:hAnsi="David" w:cs="David"/>
          <w:sz w:val="24"/>
          <w:szCs w:val="24"/>
          <w:rtl/>
        </w:rPr>
        <w:t>לדעתי, אמ</w:t>
      </w:r>
      <w:r>
        <w:rPr>
          <w:rFonts w:ascii="David" w:hAnsi="David" w:cs="David" w:hint="cs"/>
          <w:sz w:val="24"/>
          <w:szCs w:val="24"/>
          <w:rtl/>
        </w:rPr>
        <w:t>יר</w:t>
      </w:r>
      <w:r w:rsidR="00E5045D" w:rsidRPr="00E5045D">
        <w:rPr>
          <w:rFonts w:ascii="David" w:hAnsi="David" w:cs="David"/>
          <w:sz w:val="24"/>
          <w:szCs w:val="24"/>
          <w:rtl/>
        </w:rPr>
        <w:t xml:space="preserve">ה זו אינה מלמדת כי הבוררת מוטה לטובת הנתבעים ככל שהתובעים מתכוונים לכך. אמירה זו אינה מעידה כלל על גיבוש דעה למי מהצדדים גם לא לנתבעים. אמירת הבוררת אף הוצאה מהקשרה. הבוררת, בדיון מקדמי, הסבירה לכאורה ובאופן כללי לשני </w:t>
      </w:r>
      <w:r w:rsidR="0080757F">
        <w:rPr>
          <w:rFonts w:ascii="David" w:hAnsi="David" w:cs="David" w:hint="cs"/>
          <w:sz w:val="24"/>
          <w:szCs w:val="24"/>
          <w:rtl/>
        </w:rPr>
        <w:t>ה</w:t>
      </w:r>
      <w:r w:rsidR="00E5045D" w:rsidRPr="00E5045D">
        <w:rPr>
          <w:rFonts w:ascii="David" w:hAnsi="David" w:cs="David"/>
          <w:sz w:val="24"/>
          <w:szCs w:val="24"/>
          <w:rtl/>
        </w:rPr>
        <w:t>צדדים את הסוגיות שבמחלוקת, ובתוך זה העריכה לכאורה באותו עת ,אלה סוגיות ע</w:t>
      </w:r>
      <w:r w:rsidR="00A610A0">
        <w:rPr>
          <w:rFonts w:ascii="David" w:hAnsi="David" w:cs="David" w:hint="cs"/>
          <w:sz w:val="24"/>
          <w:szCs w:val="24"/>
          <w:rtl/>
        </w:rPr>
        <w:t>י</w:t>
      </w:r>
      <w:r w:rsidR="00E5045D" w:rsidRPr="00E5045D">
        <w:rPr>
          <w:rFonts w:ascii="David" w:hAnsi="David" w:cs="David"/>
          <w:sz w:val="24"/>
          <w:szCs w:val="24"/>
          <w:rtl/>
        </w:rPr>
        <w:t xml:space="preserve">קריות ואלו פחות, הכל במטרה לקדם את הליכים . </w:t>
      </w:r>
      <w:r w:rsidR="00A610A0">
        <w:rPr>
          <w:rFonts w:ascii="David" w:hAnsi="David" w:cs="David" w:hint="cs"/>
          <w:sz w:val="24"/>
          <w:szCs w:val="24"/>
          <w:rtl/>
        </w:rPr>
        <w:t>ה</w:t>
      </w:r>
      <w:r w:rsidR="00170C17">
        <w:rPr>
          <w:rFonts w:ascii="David" w:hAnsi="David" w:cs="David" w:hint="cs"/>
          <w:sz w:val="24"/>
          <w:szCs w:val="24"/>
          <w:rtl/>
        </w:rPr>
        <w:t>יא אמרה לצדדים כי יש לדון תחילה בתביעה לפירוק שיתוף ודמי שימוש והוסיפה "</w:t>
      </w:r>
      <w:r w:rsidR="00170C17" w:rsidRPr="0080757F">
        <w:rPr>
          <w:rFonts w:ascii="David" w:hAnsi="David" w:cs="David" w:hint="cs"/>
          <w:b/>
          <w:bCs/>
          <w:sz w:val="24"/>
          <w:szCs w:val="24"/>
          <w:rtl/>
        </w:rPr>
        <w:t>זה שני הדברים,</w:t>
      </w:r>
      <w:r w:rsidR="00EE3C86" w:rsidRPr="0080757F">
        <w:rPr>
          <w:rFonts w:ascii="David" w:hAnsi="David" w:cs="David" w:hint="cs"/>
          <w:b/>
          <w:bCs/>
          <w:sz w:val="24"/>
          <w:szCs w:val="24"/>
          <w:rtl/>
        </w:rPr>
        <w:t xml:space="preserve"> </w:t>
      </w:r>
      <w:r w:rsidR="00170C17" w:rsidRPr="0080757F">
        <w:rPr>
          <w:rFonts w:ascii="David" w:hAnsi="David" w:cs="David" w:hint="cs"/>
          <w:b/>
          <w:bCs/>
          <w:sz w:val="24"/>
          <w:szCs w:val="24"/>
          <w:rtl/>
        </w:rPr>
        <w:t xml:space="preserve">הייתי ממליצה לדון בהם תחילה ולעזוב את כל היתר כרגע" </w:t>
      </w:r>
      <w:r w:rsidR="00170C17">
        <w:rPr>
          <w:rFonts w:ascii="David" w:hAnsi="David" w:cs="David" w:hint="cs"/>
          <w:sz w:val="24"/>
          <w:szCs w:val="24"/>
          <w:rtl/>
        </w:rPr>
        <w:t>( עמ' 7 ש' 1-15 לדי</w:t>
      </w:r>
      <w:r w:rsidR="0080757F">
        <w:rPr>
          <w:rFonts w:ascii="David" w:hAnsi="David" w:cs="David" w:hint="cs"/>
          <w:sz w:val="24"/>
          <w:szCs w:val="24"/>
          <w:rtl/>
        </w:rPr>
        <w:t>ון מיום 13/12/2018). אוסיף כי אף</w:t>
      </w:r>
      <w:r w:rsidR="00170C17">
        <w:rPr>
          <w:rFonts w:ascii="David" w:hAnsi="David" w:cs="David" w:hint="cs"/>
          <w:sz w:val="24"/>
          <w:szCs w:val="24"/>
          <w:rtl/>
        </w:rPr>
        <w:t xml:space="preserve"> ב"כ התובעים</w:t>
      </w:r>
      <w:r w:rsidR="00272786">
        <w:rPr>
          <w:rFonts w:ascii="David" w:hAnsi="David" w:cs="David" w:hint="cs"/>
          <w:sz w:val="24"/>
          <w:szCs w:val="24"/>
          <w:rtl/>
        </w:rPr>
        <w:t xml:space="preserve"> עו"ד </w:t>
      </w:r>
      <w:r w:rsidR="00893D05">
        <w:rPr>
          <w:rFonts w:ascii="David" w:hAnsi="David" w:cs="David" w:hint="cs"/>
          <w:sz w:val="24"/>
          <w:szCs w:val="24"/>
          <w:rtl/>
        </w:rPr>
        <w:t xml:space="preserve"> עותמאן </w:t>
      </w:r>
      <w:r w:rsidR="00170C17">
        <w:rPr>
          <w:rFonts w:ascii="David" w:hAnsi="David" w:cs="David" w:hint="cs"/>
          <w:sz w:val="24"/>
          <w:szCs w:val="24"/>
          <w:rtl/>
        </w:rPr>
        <w:t xml:space="preserve"> אמר לפרוטוקול כי אם בית המשפט היה מסיים את התביעה לפירוק שיתוף</w:t>
      </w:r>
      <w:r w:rsidR="0080757F">
        <w:rPr>
          <w:rFonts w:ascii="David" w:hAnsi="David" w:cs="David" w:hint="cs"/>
          <w:sz w:val="24"/>
          <w:szCs w:val="24"/>
          <w:rtl/>
        </w:rPr>
        <w:t>,</w:t>
      </w:r>
      <w:r w:rsidR="00170C17">
        <w:rPr>
          <w:rFonts w:ascii="David" w:hAnsi="David" w:cs="David" w:hint="cs"/>
          <w:sz w:val="24"/>
          <w:szCs w:val="24"/>
          <w:rtl/>
        </w:rPr>
        <w:t xml:space="preserve"> אז שאר התביעות לא היו מוגשות ( עמ' 9 ש' 7-10).מזה ניתן להבין כי הסכסוך העיקרי הוא בפירוק שיתוף ובדמי שימוש .</w:t>
      </w:r>
    </w:p>
    <w:p w:rsidR="0080757F" w:rsidRDefault="0080757F" w:rsidP="002931B7">
      <w:pPr>
        <w:pStyle w:val="af"/>
        <w:spacing w:line="360" w:lineRule="auto"/>
        <w:ind w:left="360"/>
        <w:jc w:val="both"/>
        <w:rPr>
          <w:rFonts w:ascii="David" w:hAnsi="David" w:cs="David"/>
          <w:sz w:val="24"/>
          <w:szCs w:val="24"/>
        </w:rPr>
      </w:pPr>
      <w:r>
        <w:rPr>
          <w:rFonts w:ascii="David" w:hAnsi="David" w:cs="David" w:hint="cs"/>
          <w:sz w:val="24"/>
          <w:szCs w:val="24"/>
          <w:rtl/>
        </w:rPr>
        <w:t>מה גם ששאר התביעות היו של שני הצדדים, ולא רק של התובעים.</w:t>
      </w:r>
    </w:p>
    <w:p w:rsidR="0080757F" w:rsidRDefault="0080757F" w:rsidP="002931B7">
      <w:pPr>
        <w:pStyle w:val="af"/>
        <w:spacing w:line="360" w:lineRule="auto"/>
        <w:ind w:left="360"/>
        <w:jc w:val="both"/>
        <w:rPr>
          <w:rFonts w:ascii="David" w:hAnsi="David" w:cs="David"/>
          <w:sz w:val="24"/>
          <w:szCs w:val="24"/>
        </w:rPr>
      </w:pPr>
    </w:p>
    <w:p w:rsidR="006C3E0F" w:rsidRPr="006C3E0F" w:rsidRDefault="00BD2D75"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אוסיף כי, </w:t>
      </w:r>
      <w:r w:rsidRPr="00BD2D75">
        <w:rPr>
          <w:rFonts w:ascii="David" w:hAnsi="David" w:cs="David"/>
          <w:sz w:val="24"/>
          <w:szCs w:val="24"/>
          <w:rtl/>
        </w:rPr>
        <w:t xml:space="preserve">לא מצאתי </w:t>
      </w:r>
      <w:r>
        <w:rPr>
          <w:rFonts w:ascii="David" w:hAnsi="David" w:cs="David" w:hint="cs"/>
          <w:sz w:val="24"/>
          <w:szCs w:val="24"/>
          <w:rtl/>
        </w:rPr>
        <w:t xml:space="preserve"> כל </w:t>
      </w:r>
      <w:r w:rsidRPr="00BD2D75">
        <w:rPr>
          <w:rFonts w:ascii="David" w:hAnsi="David" w:cs="David"/>
          <w:sz w:val="24"/>
          <w:szCs w:val="24"/>
          <w:rtl/>
        </w:rPr>
        <w:t xml:space="preserve">דופי </w:t>
      </w:r>
      <w:r w:rsidR="006C3E0F">
        <w:rPr>
          <w:rFonts w:ascii="David" w:hAnsi="David" w:cs="David" w:hint="cs"/>
          <w:sz w:val="24"/>
          <w:szCs w:val="24"/>
          <w:rtl/>
        </w:rPr>
        <w:t>בהחלטה של הבוררת לפצל הדיון ולדון תחילה בתביעות לפירוק שיתוף ודמי שימוש.</w:t>
      </w:r>
    </w:p>
    <w:p w:rsidR="00BD2D75" w:rsidRDefault="006C3E0F" w:rsidP="002931B7">
      <w:pPr>
        <w:pStyle w:val="af"/>
        <w:spacing w:line="360" w:lineRule="auto"/>
        <w:ind w:left="360"/>
        <w:jc w:val="both"/>
        <w:rPr>
          <w:rFonts w:ascii="David" w:hAnsi="David" w:cs="David"/>
          <w:sz w:val="24"/>
          <w:szCs w:val="24"/>
        </w:rPr>
      </w:pPr>
      <w:r>
        <w:rPr>
          <w:rFonts w:ascii="David" w:hAnsi="David" w:cs="David"/>
          <w:sz w:val="24"/>
          <w:szCs w:val="24"/>
          <w:rtl/>
        </w:rPr>
        <w:t>עסקינן בהחלט</w:t>
      </w:r>
      <w:r>
        <w:rPr>
          <w:rFonts w:ascii="David" w:hAnsi="David" w:cs="David" w:hint="cs"/>
          <w:sz w:val="24"/>
          <w:szCs w:val="24"/>
          <w:rtl/>
        </w:rPr>
        <w:t>ה</w:t>
      </w:r>
      <w:r w:rsidRPr="006C3E0F">
        <w:rPr>
          <w:rFonts w:ascii="David" w:hAnsi="David" w:cs="David"/>
          <w:sz w:val="24"/>
          <w:szCs w:val="24"/>
          <w:rtl/>
        </w:rPr>
        <w:t xml:space="preserve"> די</w:t>
      </w:r>
      <w:r>
        <w:rPr>
          <w:rFonts w:ascii="David" w:hAnsi="David" w:cs="David"/>
          <w:sz w:val="24"/>
          <w:szCs w:val="24"/>
          <w:rtl/>
        </w:rPr>
        <w:t>וניות המסור</w:t>
      </w:r>
      <w:r>
        <w:rPr>
          <w:rFonts w:ascii="David" w:hAnsi="David" w:cs="David" w:hint="cs"/>
          <w:sz w:val="24"/>
          <w:szCs w:val="24"/>
          <w:rtl/>
        </w:rPr>
        <w:t>ה</w:t>
      </w:r>
      <w:r>
        <w:rPr>
          <w:rFonts w:ascii="David" w:hAnsi="David" w:cs="David"/>
          <w:sz w:val="24"/>
          <w:szCs w:val="24"/>
          <w:rtl/>
        </w:rPr>
        <w:t xml:space="preserve"> לשיקול דעת</w:t>
      </w:r>
      <w:r>
        <w:rPr>
          <w:rFonts w:ascii="David" w:hAnsi="David" w:cs="David" w:hint="cs"/>
          <w:sz w:val="24"/>
          <w:szCs w:val="24"/>
          <w:rtl/>
        </w:rPr>
        <w:t>ה</w:t>
      </w:r>
      <w:r w:rsidRPr="006C3E0F">
        <w:rPr>
          <w:rFonts w:ascii="David" w:hAnsi="David" w:cs="David"/>
          <w:sz w:val="24"/>
          <w:szCs w:val="24"/>
          <w:rtl/>
        </w:rPr>
        <w:t xml:space="preserve"> של הבורר</w:t>
      </w:r>
      <w:r>
        <w:rPr>
          <w:rFonts w:ascii="David" w:hAnsi="David" w:cs="David" w:hint="cs"/>
          <w:sz w:val="24"/>
          <w:szCs w:val="24"/>
          <w:rtl/>
        </w:rPr>
        <w:t xml:space="preserve">ת, </w:t>
      </w:r>
      <w:r>
        <w:rPr>
          <w:rFonts w:ascii="David" w:hAnsi="David" w:cs="David"/>
          <w:sz w:val="24"/>
          <w:szCs w:val="24"/>
          <w:rtl/>
        </w:rPr>
        <w:t>סמכות</w:t>
      </w:r>
      <w:r>
        <w:rPr>
          <w:rFonts w:ascii="David" w:hAnsi="David" w:cs="David" w:hint="cs"/>
          <w:sz w:val="24"/>
          <w:szCs w:val="24"/>
          <w:rtl/>
        </w:rPr>
        <w:t xml:space="preserve">ה </w:t>
      </w:r>
      <w:r w:rsidRPr="006C3E0F">
        <w:rPr>
          <w:rFonts w:ascii="David" w:hAnsi="David" w:cs="David"/>
          <w:sz w:val="24"/>
          <w:szCs w:val="24"/>
          <w:rtl/>
        </w:rPr>
        <w:t>של הבור</w:t>
      </w:r>
      <w:r>
        <w:rPr>
          <w:rFonts w:ascii="David" w:hAnsi="David" w:cs="David" w:hint="cs"/>
          <w:sz w:val="24"/>
          <w:szCs w:val="24"/>
          <w:rtl/>
        </w:rPr>
        <w:t>רת</w:t>
      </w:r>
      <w:r w:rsidRPr="006C3E0F">
        <w:rPr>
          <w:rFonts w:ascii="David" w:hAnsi="David" w:cs="David"/>
          <w:sz w:val="24"/>
          <w:szCs w:val="24"/>
          <w:rtl/>
        </w:rPr>
        <w:t xml:space="preserve"> לנווט את סדרי</w:t>
      </w:r>
      <w:r>
        <w:rPr>
          <w:rFonts w:ascii="David" w:hAnsi="David" w:cs="David"/>
          <w:sz w:val="24"/>
          <w:szCs w:val="24"/>
          <w:rtl/>
        </w:rPr>
        <w:t xml:space="preserve"> הדיון לפני</w:t>
      </w:r>
      <w:r>
        <w:rPr>
          <w:rFonts w:ascii="David" w:hAnsi="David" w:cs="David" w:hint="cs"/>
          <w:sz w:val="24"/>
          <w:szCs w:val="24"/>
          <w:rtl/>
        </w:rPr>
        <w:t>ה</w:t>
      </w:r>
      <w:r w:rsidRPr="006C3E0F">
        <w:rPr>
          <w:rFonts w:ascii="David" w:hAnsi="David" w:cs="David"/>
          <w:sz w:val="24"/>
          <w:szCs w:val="24"/>
          <w:rtl/>
        </w:rPr>
        <w:t xml:space="preserve"> היא שמאפשרת את ניהול הבוררות ביעילות ולפיכך בית המשפט ימעט להתערב, אם בכלל, בשיקול הדעת הדיוני של הבורר, [ראו: סמדר אוטולנגי בוררות דין ונוהל א 69</w:t>
      </w:r>
      <w:r>
        <w:rPr>
          <w:rFonts w:ascii="David" w:hAnsi="David" w:cs="David"/>
          <w:sz w:val="24"/>
          <w:szCs w:val="24"/>
          <w:rtl/>
        </w:rPr>
        <w:t xml:space="preserve">9-698 (2005) </w:t>
      </w:r>
      <w:r>
        <w:rPr>
          <w:rFonts w:ascii="David" w:hAnsi="David" w:cs="David" w:hint="cs"/>
          <w:sz w:val="24"/>
          <w:szCs w:val="24"/>
          <w:rtl/>
        </w:rPr>
        <w:t xml:space="preserve">, </w:t>
      </w:r>
      <w:r w:rsidRPr="006C3E0F">
        <w:rPr>
          <w:rFonts w:ascii="David" w:hAnsi="David" w:cs="David"/>
          <w:sz w:val="24"/>
          <w:szCs w:val="24"/>
          <w:rtl/>
        </w:rPr>
        <w:t xml:space="preserve">רע"א 7191/11 אורגד ח.ש.ן בע"מ נ' משב הנדסת קירור </w:t>
      </w:r>
      <w:r>
        <w:rPr>
          <w:rFonts w:ascii="David" w:hAnsi="David" w:cs="David"/>
          <w:sz w:val="24"/>
          <w:szCs w:val="24"/>
          <w:rtl/>
        </w:rPr>
        <w:t xml:space="preserve">בע"מ </w:t>
      </w:r>
      <w:r>
        <w:rPr>
          <w:rFonts w:ascii="David" w:hAnsi="David" w:cs="David" w:hint="cs"/>
          <w:sz w:val="24"/>
          <w:szCs w:val="24"/>
          <w:rtl/>
        </w:rPr>
        <w:t>).</w:t>
      </w:r>
    </w:p>
    <w:p w:rsidR="00FD74BF" w:rsidRDefault="00FD74BF" w:rsidP="002931B7">
      <w:pPr>
        <w:pStyle w:val="af"/>
        <w:spacing w:line="360" w:lineRule="auto"/>
        <w:ind w:left="360"/>
        <w:jc w:val="both"/>
        <w:rPr>
          <w:rFonts w:ascii="David" w:hAnsi="David" w:cs="David"/>
          <w:sz w:val="24"/>
          <w:szCs w:val="24"/>
        </w:rPr>
      </w:pPr>
    </w:p>
    <w:p w:rsidR="00FD74BF" w:rsidRPr="00FD74BF" w:rsidRDefault="00FD74BF" w:rsidP="002931B7">
      <w:pPr>
        <w:spacing w:line="360" w:lineRule="auto"/>
        <w:jc w:val="both"/>
        <w:rPr>
          <w:rFonts w:ascii="David" w:hAnsi="David"/>
          <w:u w:val="single"/>
          <w:rtl/>
        </w:rPr>
      </w:pPr>
      <w:r w:rsidRPr="00FD74BF">
        <w:rPr>
          <w:rFonts w:ascii="David" w:hAnsi="David"/>
          <w:u w:val="single"/>
          <w:rtl/>
        </w:rPr>
        <w:t>התנהלות הבוררת-</w:t>
      </w:r>
      <w:r w:rsidRPr="00FD74BF">
        <w:rPr>
          <w:rFonts w:ascii="David" w:hAnsi="David" w:hint="cs"/>
          <w:u w:val="single"/>
          <w:rtl/>
        </w:rPr>
        <w:t>היעתרות לבקשות הנתבעים-</w:t>
      </w:r>
    </w:p>
    <w:p w:rsidR="00FD74BF" w:rsidRDefault="00FD74BF" w:rsidP="002931B7">
      <w:pPr>
        <w:pStyle w:val="af"/>
        <w:numPr>
          <w:ilvl w:val="0"/>
          <w:numId w:val="2"/>
        </w:numPr>
        <w:spacing w:line="360" w:lineRule="auto"/>
        <w:jc w:val="both"/>
        <w:rPr>
          <w:rFonts w:ascii="David" w:hAnsi="David" w:cs="David"/>
          <w:sz w:val="24"/>
          <w:szCs w:val="24"/>
        </w:rPr>
      </w:pPr>
      <w:r w:rsidRPr="00FD74BF">
        <w:rPr>
          <w:rFonts w:ascii="David" w:hAnsi="David" w:cs="David"/>
          <w:sz w:val="24"/>
          <w:szCs w:val="24"/>
          <w:rtl/>
        </w:rPr>
        <w:t xml:space="preserve">התובעים מפנים לפרוטוקולי דיוני </w:t>
      </w:r>
      <w:r w:rsidRPr="00FD74BF">
        <w:rPr>
          <w:rFonts w:ascii="David" w:hAnsi="David" w:cs="David" w:hint="cs"/>
          <w:sz w:val="24"/>
          <w:szCs w:val="24"/>
          <w:rtl/>
        </w:rPr>
        <w:t>ה</w:t>
      </w:r>
      <w:r w:rsidRPr="00FD74BF">
        <w:rPr>
          <w:rFonts w:ascii="David" w:hAnsi="David" w:cs="David"/>
          <w:sz w:val="24"/>
          <w:szCs w:val="24"/>
          <w:rtl/>
        </w:rPr>
        <w:t>בוררות וטוענים כי, כמעט כל בקשה של התובעים נדחית ואלו של הנתבעים מתקבלת לרבות שלעתים הבוררת הופכת את דעתה והכל בהתאם לרצון הנתבעים. התובעים מביאים דוגמאות לכך למשל בענ</w:t>
      </w:r>
      <w:r w:rsidRPr="00FD74BF">
        <w:rPr>
          <w:rFonts w:ascii="David" w:hAnsi="David" w:cs="David" w:hint="cs"/>
          <w:sz w:val="24"/>
          <w:szCs w:val="24"/>
          <w:rtl/>
        </w:rPr>
        <w:t>י</w:t>
      </w:r>
      <w:r w:rsidRPr="00FD74BF">
        <w:rPr>
          <w:rFonts w:ascii="David" w:hAnsi="David" w:cs="David"/>
          <w:sz w:val="24"/>
          <w:szCs w:val="24"/>
          <w:rtl/>
        </w:rPr>
        <w:t>ין השמאות: מינוי הבוררת לשמאי מטעמה, הגם שהיה שמאי קו</w:t>
      </w:r>
      <w:r w:rsidR="0080757F">
        <w:rPr>
          <w:rFonts w:ascii="David" w:hAnsi="David" w:cs="David"/>
          <w:sz w:val="24"/>
          <w:szCs w:val="24"/>
          <w:rtl/>
        </w:rPr>
        <w:t>דם שבקר בנכס</w:t>
      </w:r>
      <w:r w:rsidR="0080757F">
        <w:rPr>
          <w:rFonts w:ascii="David" w:hAnsi="David" w:cs="David" w:hint="cs"/>
          <w:sz w:val="24"/>
          <w:szCs w:val="24"/>
          <w:rtl/>
        </w:rPr>
        <w:t>,</w:t>
      </w:r>
      <w:r w:rsidRPr="00FD74BF">
        <w:rPr>
          <w:rFonts w:ascii="David" w:hAnsi="David" w:cs="David"/>
          <w:sz w:val="24"/>
          <w:szCs w:val="24"/>
          <w:rtl/>
        </w:rPr>
        <w:t xml:space="preserve"> וגם בענ</w:t>
      </w:r>
      <w:r w:rsidR="00454ECA">
        <w:rPr>
          <w:rFonts w:ascii="David" w:hAnsi="David" w:cs="David" w:hint="cs"/>
          <w:sz w:val="24"/>
          <w:szCs w:val="24"/>
          <w:rtl/>
        </w:rPr>
        <w:t>י</w:t>
      </w:r>
      <w:r w:rsidRPr="00FD74BF">
        <w:rPr>
          <w:rFonts w:ascii="David" w:hAnsi="David" w:cs="David"/>
          <w:sz w:val="24"/>
          <w:szCs w:val="24"/>
          <w:rtl/>
        </w:rPr>
        <w:t>ין שליחת חומרים למומחה כאשר הבוררת סירבה בהתחלה לבקשת ב"כ התובעים דא ונע</w:t>
      </w:r>
      <w:r w:rsidRPr="00FD74BF">
        <w:rPr>
          <w:rFonts w:ascii="David" w:hAnsi="David" w:cs="David" w:hint="cs"/>
          <w:sz w:val="24"/>
          <w:szCs w:val="24"/>
          <w:rtl/>
        </w:rPr>
        <w:t>נתה</w:t>
      </w:r>
      <w:r w:rsidRPr="00FD74BF">
        <w:rPr>
          <w:rFonts w:ascii="David" w:hAnsi="David" w:cs="David"/>
          <w:sz w:val="24"/>
          <w:szCs w:val="24"/>
          <w:rtl/>
        </w:rPr>
        <w:t xml:space="preserve">  להם רק לאחר שהתובעים שלחו חומרים </w:t>
      </w:r>
      <w:r w:rsidRPr="00FD74BF">
        <w:rPr>
          <w:rFonts w:ascii="David" w:hAnsi="David" w:cs="David"/>
          <w:sz w:val="24"/>
          <w:szCs w:val="24"/>
          <w:rtl/>
        </w:rPr>
        <w:lastRenderedPageBreak/>
        <w:t>לשמאי בניגוד להח</w:t>
      </w:r>
      <w:r w:rsidRPr="00FD74BF">
        <w:rPr>
          <w:rFonts w:ascii="David" w:hAnsi="David" w:cs="David" w:hint="cs"/>
          <w:sz w:val="24"/>
          <w:szCs w:val="24"/>
          <w:rtl/>
        </w:rPr>
        <w:t>ל</w:t>
      </w:r>
      <w:r w:rsidR="0080757F">
        <w:rPr>
          <w:rFonts w:ascii="David" w:hAnsi="David" w:cs="David"/>
          <w:sz w:val="24"/>
          <w:szCs w:val="24"/>
          <w:rtl/>
        </w:rPr>
        <w:t>טתה</w:t>
      </w:r>
      <w:r w:rsidR="0080757F">
        <w:rPr>
          <w:rFonts w:ascii="David" w:hAnsi="David" w:cs="David" w:hint="cs"/>
          <w:sz w:val="24"/>
          <w:szCs w:val="24"/>
          <w:rtl/>
        </w:rPr>
        <w:t>;</w:t>
      </w:r>
      <w:r w:rsidRPr="00FD74BF">
        <w:rPr>
          <w:rFonts w:ascii="David" w:hAnsi="David" w:cs="David"/>
          <w:sz w:val="24"/>
          <w:szCs w:val="24"/>
          <w:rtl/>
        </w:rPr>
        <w:t xml:space="preserve">  עמדת הבוררת בעני</w:t>
      </w:r>
      <w:r w:rsidRPr="00FD74BF">
        <w:rPr>
          <w:rFonts w:ascii="David" w:hAnsi="David" w:cs="David" w:hint="cs"/>
          <w:sz w:val="24"/>
          <w:szCs w:val="24"/>
          <w:rtl/>
        </w:rPr>
        <w:t>י</w:t>
      </w:r>
      <w:r w:rsidRPr="00FD74BF">
        <w:rPr>
          <w:rFonts w:ascii="David" w:hAnsi="David" w:cs="David"/>
          <w:sz w:val="24"/>
          <w:szCs w:val="24"/>
          <w:rtl/>
        </w:rPr>
        <w:t>ן התנגדות ב"כ התובעים דאז להגדרת הנכס כנכס תפוס בהוראות למומחה, וגם לעני</w:t>
      </w:r>
      <w:r w:rsidR="00454ECA">
        <w:rPr>
          <w:rFonts w:ascii="David" w:hAnsi="David" w:cs="David" w:hint="cs"/>
          <w:sz w:val="24"/>
          <w:szCs w:val="24"/>
          <w:rtl/>
        </w:rPr>
        <w:t>י</w:t>
      </w:r>
      <w:r w:rsidRPr="00FD74BF">
        <w:rPr>
          <w:rFonts w:ascii="David" w:hAnsi="David" w:cs="David"/>
          <w:sz w:val="24"/>
          <w:szCs w:val="24"/>
          <w:rtl/>
        </w:rPr>
        <w:t>ן בקשת ב"כ דאז של התובעים כי לא י</w:t>
      </w:r>
      <w:r w:rsidR="00454ECA">
        <w:rPr>
          <w:rFonts w:ascii="David" w:hAnsi="David" w:cs="David" w:hint="cs"/>
          <w:sz w:val="24"/>
          <w:szCs w:val="24"/>
          <w:rtl/>
        </w:rPr>
        <w:t>י</w:t>
      </w:r>
      <w:r w:rsidRPr="00FD74BF">
        <w:rPr>
          <w:rFonts w:ascii="David" w:hAnsi="David" w:cs="David"/>
          <w:sz w:val="24"/>
          <w:szCs w:val="24"/>
          <w:rtl/>
        </w:rPr>
        <w:t>לק</w:t>
      </w:r>
      <w:r>
        <w:rPr>
          <w:rFonts w:ascii="David" w:hAnsi="David" w:cs="David"/>
          <w:sz w:val="24"/>
          <w:szCs w:val="24"/>
          <w:rtl/>
        </w:rPr>
        <w:t xml:space="preserve">חו בחשבון ההשקעות שבוצעו בנכס </w:t>
      </w:r>
      <w:r>
        <w:rPr>
          <w:rFonts w:ascii="David" w:hAnsi="David" w:cs="David" w:hint="cs"/>
          <w:sz w:val="24"/>
          <w:szCs w:val="24"/>
          <w:rtl/>
        </w:rPr>
        <w:t>.</w:t>
      </w:r>
    </w:p>
    <w:p w:rsidR="00454ECA" w:rsidRDefault="00454ECA" w:rsidP="002931B7">
      <w:pPr>
        <w:pStyle w:val="af"/>
        <w:spacing w:line="360" w:lineRule="auto"/>
        <w:ind w:left="360"/>
        <w:jc w:val="both"/>
        <w:rPr>
          <w:rFonts w:ascii="David" w:hAnsi="David" w:cs="David"/>
          <w:sz w:val="24"/>
          <w:szCs w:val="24"/>
        </w:rPr>
      </w:pPr>
    </w:p>
    <w:p w:rsidR="00FD74BF" w:rsidRDefault="00FD74BF" w:rsidP="002931B7">
      <w:pPr>
        <w:pStyle w:val="af"/>
        <w:numPr>
          <w:ilvl w:val="0"/>
          <w:numId w:val="2"/>
        </w:numPr>
        <w:spacing w:line="360" w:lineRule="auto"/>
        <w:jc w:val="both"/>
        <w:rPr>
          <w:rFonts w:ascii="David" w:hAnsi="David" w:cs="David"/>
          <w:sz w:val="24"/>
          <w:szCs w:val="24"/>
        </w:rPr>
      </w:pPr>
      <w:r w:rsidRPr="00FD74BF">
        <w:rPr>
          <w:rFonts w:ascii="David" w:hAnsi="David" w:cs="David"/>
          <w:sz w:val="24"/>
          <w:szCs w:val="24"/>
          <w:rtl/>
        </w:rPr>
        <w:t xml:space="preserve">אין כלום בטענות התובעים. </w:t>
      </w:r>
    </w:p>
    <w:p w:rsidR="008551B8" w:rsidRDefault="008551B8" w:rsidP="002931B7">
      <w:pPr>
        <w:pStyle w:val="af"/>
        <w:spacing w:line="360" w:lineRule="auto"/>
        <w:ind w:left="360"/>
        <w:jc w:val="both"/>
        <w:rPr>
          <w:rFonts w:ascii="David" w:hAnsi="David" w:cs="David"/>
          <w:sz w:val="24"/>
          <w:szCs w:val="24"/>
          <w:rtl/>
        </w:rPr>
      </w:pPr>
      <w:r w:rsidRPr="00FF045C">
        <w:rPr>
          <w:rFonts w:ascii="David" w:hAnsi="David" w:cs="David"/>
          <w:sz w:val="24"/>
          <w:szCs w:val="24"/>
          <w:u w:val="single"/>
          <w:rtl/>
        </w:rPr>
        <w:t>ראשית</w:t>
      </w:r>
      <w:r w:rsidRPr="008551B8">
        <w:rPr>
          <w:rFonts w:ascii="David" w:hAnsi="David" w:cs="David"/>
          <w:sz w:val="24"/>
          <w:szCs w:val="24"/>
          <w:rtl/>
        </w:rPr>
        <w:t>, גם מתן מספר החלטות שלא ל</w:t>
      </w:r>
      <w:r w:rsidR="0080757F">
        <w:rPr>
          <w:rFonts w:ascii="David" w:hAnsi="David" w:cs="David"/>
          <w:sz w:val="24"/>
          <w:szCs w:val="24"/>
          <w:rtl/>
        </w:rPr>
        <w:t xml:space="preserve">רוחם של התובעים, אין משמעה </w:t>
      </w:r>
      <w:r w:rsidR="0080757F">
        <w:rPr>
          <w:rFonts w:ascii="David" w:hAnsi="David" w:cs="David" w:hint="cs"/>
          <w:sz w:val="24"/>
          <w:szCs w:val="24"/>
          <w:rtl/>
        </w:rPr>
        <w:t xml:space="preserve">בהכרח </w:t>
      </w:r>
      <w:r w:rsidRPr="008551B8">
        <w:rPr>
          <w:rFonts w:ascii="David" w:hAnsi="David" w:cs="David"/>
          <w:sz w:val="24"/>
          <w:szCs w:val="24"/>
          <w:rtl/>
        </w:rPr>
        <w:t xml:space="preserve">, שהיא נובעת ממשוא פנים לטובת הנתבעים. </w:t>
      </w:r>
    </w:p>
    <w:p w:rsidR="006752B0" w:rsidRPr="00FF045C" w:rsidRDefault="006752B0" w:rsidP="002931B7">
      <w:pPr>
        <w:pStyle w:val="af"/>
        <w:spacing w:line="360" w:lineRule="auto"/>
        <w:ind w:left="360"/>
        <w:jc w:val="both"/>
        <w:rPr>
          <w:rFonts w:ascii="David" w:hAnsi="David" w:cs="David"/>
          <w:sz w:val="24"/>
          <w:szCs w:val="24"/>
          <w:rtl/>
        </w:rPr>
      </w:pPr>
      <w:r>
        <w:rPr>
          <w:rFonts w:ascii="David" w:hAnsi="David" w:cs="David"/>
          <w:sz w:val="24"/>
          <w:szCs w:val="24"/>
          <w:rtl/>
        </w:rPr>
        <w:t xml:space="preserve"> </w:t>
      </w:r>
      <w:r w:rsidR="00FF045C">
        <w:rPr>
          <w:rFonts w:ascii="David" w:hAnsi="David" w:cs="David"/>
          <w:sz w:val="24"/>
          <w:szCs w:val="24"/>
          <w:rtl/>
        </w:rPr>
        <w:t xml:space="preserve">אפילו ניתן היה להשיג על </w:t>
      </w:r>
      <w:r w:rsidRPr="00FF045C">
        <w:rPr>
          <w:rFonts w:ascii="David" w:hAnsi="David" w:cs="David"/>
          <w:sz w:val="24"/>
          <w:szCs w:val="24"/>
          <w:rtl/>
        </w:rPr>
        <w:t>החלטות הבורר</w:t>
      </w:r>
      <w:r w:rsidR="00FF045C">
        <w:rPr>
          <w:rFonts w:ascii="David" w:hAnsi="David" w:cs="David" w:hint="cs"/>
          <w:sz w:val="24"/>
          <w:szCs w:val="24"/>
          <w:rtl/>
        </w:rPr>
        <w:t>ת</w:t>
      </w:r>
      <w:r w:rsidRPr="00FF045C">
        <w:rPr>
          <w:rFonts w:ascii="David" w:hAnsi="David" w:cs="David"/>
          <w:sz w:val="24"/>
          <w:szCs w:val="24"/>
          <w:rtl/>
        </w:rPr>
        <w:t xml:space="preserve">, ואף אם ניתן היה להכריע באלו </w:t>
      </w:r>
      <w:r w:rsidR="0080757F">
        <w:rPr>
          <w:rFonts w:ascii="David" w:hAnsi="David" w:cs="David"/>
          <w:sz w:val="24"/>
          <w:szCs w:val="24"/>
          <w:rtl/>
        </w:rPr>
        <w:t>מה</w:t>
      </w:r>
      <w:r w:rsidR="0080757F">
        <w:rPr>
          <w:rFonts w:ascii="David" w:hAnsi="David" w:cs="David" w:hint="cs"/>
          <w:sz w:val="24"/>
          <w:szCs w:val="24"/>
          <w:rtl/>
        </w:rPr>
        <w:t>ן</w:t>
      </w:r>
      <w:r w:rsidRPr="00FF045C">
        <w:rPr>
          <w:rFonts w:ascii="David" w:hAnsi="David" w:cs="David"/>
          <w:sz w:val="24"/>
          <w:szCs w:val="24"/>
          <w:rtl/>
        </w:rPr>
        <w:t xml:space="preserve"> אחרת מכפי שהחליט</w:t>
      </w:r>
      <w:r w:rsidR="00FF045C">
        <w:rPr>
          <w:rFonts w:ascii="David" w:hAnsi="David" w:cs="David" w:hint="cs"/>
          <w:sz w:val="24"/>
          <w:szCs w:val="24"/>
          <w:rtl/>
        </w:rPr>
        <w:t>ה</w:t>
      </w:r>
      <w:r w:rsidR="00FF045C">
        <w:rPr>
          <w:rFonts w:ascii="David" w:hAnsi="David" w:cs="David"/>
          <w:sz w:val="24"/>
          <w:szCs w:val="24"/>
          <w:rtl/>
        </w:rPr>
        <w:t>, עדיין אין למצוא בהחלט</w:t>
      </w:r>
      <w:r w:rsidR="00FF045C">
        <w:rPr>
          <w:rFonts w:ascii="David" w:hAnsi="David" w:cs="David" w:hint="cs"/>
          <w:sz w:val="24"/>
          <w:szCs w:val="24"/>
          <w:rtl/>
        </w:rPr>
        <w:t>ות</w:t>
      </w:r>
      <w:r w:rsidRPr="00FF045C">
        <w:rPr>
          <w:rFonts w:ascii="David" w:hAnsi="David" w:cs="David"/>
          <w:sz w:val="24"/>
          <w:szCs w:val="24"/>
          <w:rtl/>
        </w:rPr>
        <w:t xml:space="preserve"> ולו בדל חשש למשוא פנים מצד הבורר</w:t>
      </w:r>
      <w:r w:rsidR="00FF045C">
        <w:rPr>
          <w:rFonts w:ascii="David" w:hAnsi="David" w:cs="David" w:hint="cs"/>
          <w:sz w:val="24"/>
          <w:szCs w:val="24"/>
          <w:rtl/>
        </w:rPr>
        <w:t>ת</w:t>
      </w:r>
      <w:r w:rsidRPr="00FF045C">
        <w:rPr>
          <w:rFonts w:ascii="David" w:hAnsi="David" w:cs="David"/>
          <w:sz w:val="24"/>
          <w:szCs w:val="24"/>
          <w:rtl/>
        </w:rPr>
        <w:t xml:space="preserve"> כלפי מי מבעלי הדין. אפשרות טעות בהפעלת שיקול דעת על ידי בורר במתן החלטה אינה שקולה  כמשוא פנים, ואינה עילה לפגיעה באמינותו וביושרו במילוי תפקידו. </w:t>
      </w:r>
    </w:p>
    <w:p w:rsidR="006752B0" w:rsidRDefault="00FF045C" w:rsidP="002931B7">
      <w:pPr>
        <w:pStyle w:val="af"/>
        <w:spacing w:line="360" w:lineRule="auto"/>
        <w:ind w:left="360"/>
        <w:jc w:val="both"/>
        <w:rPr>
          <w:rFonts w:ascii="David" w:hAnsi="David" w:cs="David"/>
          <w:sz w:val="24"/>
          <w:szCs w:val="24"/>
          <w:rtl/>
        </w:rPr>
      </w:pPr>
      <w:r>
        <w:rPr>
          <w:rFonts w:ascii="David" w:hAnsi="David" w:cs="David" w:hint="cs"/>
          <w:sz w:val="24"/>
          <w:szCs w:val="24"/>
          <w:rtl/>
        </w:rPr>
        <w:t xml:space="preserve">( ראה בהקשר זה </w:t>
      </w:r>
      <w:r w:rsidR="006752B0" w:rsidRPr="006752B0">
        <w:rPr>
          <w:rFonts w:ascii="David" w:hAnsi="David" w:cs="David"/>
          <w:sz w:val="24"/>
          <w:szCs w:val="24"/>
          <w:rtl/>
        </w:rPr>
        <w:t>ברע"א 6931/11 עמידר החברה הלאומית לשיכון בישראל בע"מ נ' זוהר חי</w:t>
      </w:r>
      <w:r>
        <w:rPr>
          <w:rFonts w:ascii="David" w:hAnsi="David" w:cs="David" w:hint="cs"/>
          <w:sz w:val="24"/>
          <w:szCs w:val="24"/>
          <w:rtl/>
        </w:rPr>
        <w:t>)</w:t>
      </w:r>
      <w:r w:rsidR="0080757F">
        <w:rPr>
          <w:rFonts w:ascii="David" w:hAnsi="David" w:cs="David" w:hint="cs"/>
          <w:sz w:val="24"/>
          <w:szCs w:val="24"/>
          <w:rtl/>
        </w:rPr>
        <w:t>.</w:t>
      </w:r>
    </w:p>
    <w:p w:rsidR="0080757F" w:rsidRPr="0080757F" w:rsidRDefault="0080757F" w:rsidP="002931B7">
      <w:pPr>
        <w:pStyle w:val="af"/>
        <w:spacing w:line="360" w:lineRule="auto"/>
        <w:ind w:left="360"/>
        <w:jc w:val="both"/>
        <w:rPr>
          <w:rFonts w:ascii="David" w:hAnsi="David" w:cs="David"/>
          <w:sz w:val="24"/>
          <w:szCs w:val="24"/>
          <w:rtl/>
        </w:rPr>
      </w:pPr>
    </w:p>
    <w:p w:rsidR="008551B8" w:rsidRPr="008551B8" w:rsidRDefault="008551B8" w:rsidP="002931B7">
      <w:pPr>
        <w:pStyle w:val="af"/>
        <w:spacing w:line="360" w:lineRule="auto"/>
        <w:ind w:left="360"/>
        <w:jc w:val="both"/>
        <w:rPr>
          <w:rFonts w:ascii="David" w:hAnsi="David" w:cs="David"/>
          <w:sz w:val="24"/>
          <w:szCs w:val="24"/>
          <w:rtl/>
        </w:rPr>
      </w:pPr>
      <w:r w:rsidRPr="00FF045C">
        <w:rPr>
          <w:rFonts w:ascii="David" w:hAnsi="David" w:cs="David"/>
          <w:sz w:val="24"/>
          <w:szCs w:val="24"/>
          <w:u w:val="single"/>
          <w:rtl/>
        </w:rPr>
        <w:t>שנית</w:t>
      </w:r>
      <w:r w:rsidR="0080757F">
        <w:rPr>
          <w:rFonts w:ascii="David" w:hAnsi="David" w:cs="David"/>
          <w:sz w:val="24"/>
          <w:szCs w:val="24"/>
          <w:rtl/>
        </w:rPr>
        <w:t xml:space="preserve">, לגופם של דברים, </w:t>
      </w:r>
      <w:r w:rsidR="0080757F">
        <w:rPr>
          <w:rFonts w:ascii="David" w:hAnsi="David" w:cs="David" w:hint="cs"/>
          <w:sz w:val="24"/>
          <w:szCs w:val="24"/>
          <w:rtl/>
        </w:rPr>
        <w:t>הדוגמאות להן הפנו</w:t>
      </w:r>
      <w:r w:rsidR="0080757F">
        <w:rPr>
          <w:rFonts w:ascii="David" w:hAnsi="David" w:cs="David"/>
          <w:sz w:val="24"/>
          <w:szCs w:val="24"/>
          <w:rtl/>
        </w:rPr>
        <w:t xml:space="preserve">  התובעים, אינ</w:t>
      </w:r>
      <w:r w:rsidR="0080757F">
        <w:rPr>
          <w:rFonts w:ascii="David" w:hAnsi="David" w:cs="David" w:hint="cs"/>
          <w:sz w:val="24"/>
          <w:szCs w:val="24"/>
          <w:rtl/>
        </w:rPr>
        <w:t>ן</w:t>
      </w:r>
      <w:r w:rsidR="0080757F">
        <w:rPr>
          <w:rFonts w:ascii="David" w:hAnsi="David" w:cs="David"/>
          <w:sz w:val="24"/>
          <w:szCs w:val="24"/>
          <w:rtl/>
        </w:rPr>
        <w:t xml:space="preserve"> מעיד</w:t>
      </w:r>
      <w:r w:rsidR="0080757F">
        <w:rPr>
          <w:rFonts w:ascii="David" w:hAnsi="David" w:cs="David" w:hint="cs"/>
          <w:sz w:val="24"/>
          <w:szCs w:val="24"/>
          <w:rtl/>
        </w:rPr>
        <w:t>ות</w:t>
      </w:r>
      <w:r w:rsidRPr="008551B8">
        <w:rPr>
          <w:rFonts w:ascii="David" w:hAnsi="David" w:cs="David"/>
          <w:sz w:val="24"/>
          <w:szCs w:val="24"/>
          <w:rtl/>
        </w:rPr>
        <w:t xml:space="preserve"> כלל על התנהלות מוטה; מדובר בהחלטות מקצועיות שניתנו על סמך טענות וראיות , ובהתאם לנסיבות.</w:t>
      </w:r>
    </w:p>
    <w:p w:rsidR="008551B8" w:rsidRDefault="008551B8" w:rsidP="002931B7">
      <w:pPr>
        <w:pStyle w:val="af"/>
        <w:spacing w:line="360" w:lineRule="auto"/>
        <w:ind w:left="360"/>
        <w:jc w:val="both"/>
        <w:rPr>
          <w:rFonts w:ascii="David" w:hAnsi="David" w:cs="David"/>
          <w:sz w:val="24"/>
          <w:szCs w:val="24"/>
          <w:rtl/>
        </w:rPr>
      </w:pPr>
      <w:r w:rsidRPr="0080757F">
        <w:rPr>
          <w:rFonts w:ascii="David" w:hAnsi="David" w:cs="David"/>
          <w:sz w:val="24"/>
          <w:szCs w:val="24"/>
          <w:u w:val="single"/>
          <w:rtl/>
        </w:rPr>
        <w:t>שלישית</w:t>
      </w:r>
      <w:r w:rsidRPr="008551B8">
        <w:rPr>
          <w:rFonts w:ascii="David" w:hAnsi="David" w:cs="David"/>
          <w:sz w:val="24"/>
          <w:szCs w:val="24"/>
          <w:rtl/>
        </w:rPr>
        <w:t xml:space="preserve">, גם מעיון בפסק הבורר עולה כי הבוררת קיבלה עמדת התובעים </w:t>
      </w:r>
      <w:r w:rsidR="0080757F">
        <w:rPr>
          <w:rFonts w:ascii="David" w:hAnsi="David" w:cs="David" w:hint="cs"/>
          <w:sz w:val="24"/>
          <w:szCs w:val="24"/>
          <w:rtl/>
        </w:rPr>
        <w:t>,</w:t>
      </w:r>
      <w:r w:rsidRPr="008551B8">
        <w:rPr>
          <w:rFonts w:ascii="David" w:hAnsi="David" w:cs="David"/>
          <w:sz w:val="24"/>
          <w:szCs w:val="24"/>
          <w:rtl/>
        </w:rPr>
        <w:t>במספר סוגיות</w:t>
      </w:r>
      <w:r w:rsidR="0080757F">
        <w:rPr>
          <w:rFonts w:ascii="David" w:hAnsi="David" w:cs="David" w:hint="cs"/>
          <w:sz w:val="24"/>
          <w:szCs w:val="24"/>
          <w:rtl/>
        </w:rPr>
        <w:t xml:space="preserve">, תוך דחיית עמדת הנתבעים, </w:t>
      </w:r>
      <w:r w:rsidRPr="008551B8">
        <w:rPr>
          <w:rFonts w:ascii="David" w:hAnsi="David" w:cs="David"/>
          <w:sz w:val="24"/>
          <w:szCs w:val="24"/>
          <w:rtl/>
        </w:rPr>
        <w:t>כגון</w:t>
      </w:r>
      <w:r w:rsidR="009335A9">
        <w:rPr>
          <w:rFonts w:ascii="David" w:hAnsi="David" w:cs="David" w:hint="cs"/>
          <w:sz w:val="24"/>
          <w:szCs w:val="24"/>
          <w:rtl/>
        </w:rPr>
        <w:t>, קבלת הסעד לפירוק שיתוף,</w:t>
      </w:r>
      <w:r w:rsidRPr="008551B8">
        <w:rPr>
          <w:rFonts w:ascii="David" w:hAnsi="David" w:cs="David"/>
          <w:sz w:val="24"/>
          <w:szCs w:val="24"/>
          <w:rtl/>
        </w:rPr>
        <w:t xml:space="preserve"> המועד הקובע להערכת שווה הדירה, קביעת שווי זכויות הבניה ודחיית טענות הנתבעים לענין החרגת 50% בדירה.(סעיפים</w:t>
      </w:r>
      <w:r w:rsidR="009335A9">
        <w:rPr>
          <w:rFonts w:ascii="David" w:hAnsi="David" w:cs="David" w:hint="cs"/>
          <w:sz w:val="24"/>
          <w:szCs w:val="24"/>
          <w:rtl/>
        </w:rPr>
        <w:t xml:space="preserve"> 12,</w:t>
      </w:r>
      <w:r w:rsidRPr="008551B8">
        <w:rPr>
          <w:rFonts w:ascii="David" w:hAnsi="David" w:cs="David"/>
          <w:sz w:val="24"/>
          <w:szCs w:val="24"/>
          <w:rtl/>
        </w:rPr>
        <w:t xml:space="preserve"> 14, 15 לפסק הבוררת).</w:t>
      </w:r>
    </w:p>
    <w:p w:rsidR="008551B8" w:rsidRPr="008551B8" w:rsidRDefault="008551B8" w:rsidP="002931B7">
      <w:pPr>
        <w:pStyle w:val="af"/>
        <w:spacing w:line="360" w:lineRule="auto"/>
        <w:ind w:left="360"/>
        <w:jc w:val="both"/>
        <w:rPr>
          <w:rFonts w:ascii="David" w:hAnsi="David" w:cs="David"/>
          <w:sz w:val="24"/>
          <w:szCs w:val="24"/>
          <w:u w:val="single"/>
          <w:rtl/>
        </w:rPr>
      </w:pPr>
    </w:p>
    <w:p w:rsidR="008551B8" w:rsidRPr="008551B8" w:rsidRDefault="008551B8" w:rsidP="002931B7">
      <w:pPr>
        <w:pStyle w:val="af"/>
        <w:spacing w:line="360" w:lineRule="auto"/>
        <w:ind w:left="360"/>
        <w:jc w:val="both"/>
        <w:rPr>
          <w:rFonts w:ascii="David" w:hAnsi="David" w:cs="David"/>
          <w:sz w:val="24"/>
          <w:szCs w:val="24"/>
          <w:u w:val="single"/>
        </w:rPr>
      </w:pPr>
      <w:r w:rsidRPr="008551B8">
        <w:rPr>
          <w:rFonts w:ascii="David" w:hAnsi="David" w:cs="David" w:hint="cs"/>
          <w:sz w:val="24"/>
          <w:szCs w:val="24"/>
          <w:u w:val="single"/>
          <w:rtl/>
        </w:rPr>
        <w:t>התארכות הליך הבוררות</w:t>
      </w:r>
    </w:p>
    <w:p w:rsidR="00564D98" w:rsidRDefault="00564D98" w:rsidP="002931B7">
      <w:pPr>
        <w:pStyle w:val="af"/>
        <w:numPr>
          <w:ilvl w:val="0"/>
          <w:numId w:val="2"/>
        </w:numPr>
        <w:spacing w:line="360" w:lineRule="auto"/>
        <w:jc w:val="both"/>
        <w:rPr>
          <w:rFonts w:ascii="David" w:hAnsi="David" w:cs="David"/>
          <w:sz w:val="24"/>
          <w:szCs w:val="24"/>
        </w:rPr>
      </w:pPr>
      <w:r>
        <w:rPr>
          <w:rFonts w:ascii="David" w:hAnsi="David" w:cs="David" w:hint="cs"/>
          <w:sz w:val="24"/>
          <w:szCs w:val="24"/>
          <w:rtl/>
        </w:rPr>
        <w:t>אינני מקבלת טענת התובעים כי נפל פגם בהליך הבוררות ו/או בהתארכות ההליכים.</w:t>
      </w:r>
    </w:p>
    <w:p w:rsidR="009335A9" w:rsidRDefault="009335A9" w:rsidP="002931B7">
      <w:pPr>
        <w:pStyle w:val="af"/>
        <w:spacing w:line="360" w:lineRule="auto"/>
        <w:ind w:left="360"/>
        <w:jc w:val="both"/>
        <w:rPr>
          <w:rFonts w:ascii="David" w:hAnsi="David" w:cs="David"/>
          <w:sz w:val="24"/>
          <w:szCs w:val="24"/>
        </w:rPr>
      </w:pPr>
    </w:p>
    <w:p w:rsidR="008551B8" w:rsidRPr="00564D98" w:rsidRDefault="00564D98" w:rsidP="002931B7">
      <w:pPr>
        <w:pStyle w:val="af"/>
        <w:numPr>
          <w:ilvl w:val="0"/>
          <w:numId w:val="2"/>
        </w:numPr>
        <w:spacing w:line="360" w:lineRule="auto"/>
        <w:jc w:val="both"/>
        <w:rPr>
          <w:rFonts w:ascii="David" w:hAnsi="David" w:cs="David"/>
          <w:sz w:val="24"/>
          <w:szCs w:val="24"/>
          <w:rtl/>
        </w:rPr>
      </w:pPr>
      <w:r>
        <w:rPr>
          <w:rFonts w:ascii="David" w:hAnsi="David" w:cs="David" w:hint="cs"/>
          <w:sz w:val="24"/>
          <w:szCs w:val="24"/>
          <w:rtl/>
        </w:rPr>
        <w:t>מהמס</w:t>
      </w:r>
      <w:r w:rsidR="009335A9">
        <w:rPr>
          <w:rFonts w:ascii="David" w:hAnsi="David" w:cs="David" w:hint="cs"/>
          <w:sz w:val="24"/>
          <w:szCs w:val="24"/>
          <w:rtl/>
        </w:rPr>
        <w:t>מ</w:t>
      </w:r>
      <w:r>
        <w:rPr>
          <w:rFonts w:ascii="David" w:hAnsi="David" w:cs="David" w:hint="cs"/>
          <w:sz w:val="24"/>
          <w:szCs w:val="24"/>
          <w:rtl/>
        </w:rPr>
        <w:t>כים אשר הוגשו לתיק עולה כי:</w:t>
      </w:r>
    </w:p>
    <w:p w:rsidR="008551B8" w:rsidRPr="008551B8" w:rsidRDefault="008551B8" w:rsidP="002931B7">
      <w:pPr>
        <w:pStyle w:val="af"/>
        <w:spacing w:line="360" w:lineRule="auto"/>
        <w:ind w:left="360"/>
        <w:jc w:val="both"/>
        <w:rPr>
          <w:rFonts w:ascii="David" w:hAnsi="David" w:cs="David"/>
          <w:sz w:val="24"/>
          <w:szCs w:val="24"/>
          <w:rtl/>
        </w:rPr>
      </w:pPr>
      <w:r w:rsidRPr="008551B8">
        <w:rPr>
          <w:rFonts w:ascii="David" w:hAnsi="David" w:cs="David"/>
          <w:sz w:val="24"/>
          <w:szCs w:val="24"/>
          <w:rtl/>
        </w:rPr>
        <w:t xml:space="preserve">בתאריך 12/11/18 הועברו התיקים להכרעת הבוררת . </w:t>
      </w:r>
    </w:p>
    <w:p w:rsidR="009335A9" w:rsidRDefault="008551B8" w:rsidP="002931B7">
      <w:pPr>
        <w:pStyle w:val="af"/>
        <w:spacing w:line="360" w:lineRule="auto"/>
        <w:ind w:left="360"/>
        <w:jc w:val="both"/>
        <w:rPr>
          <w:rFonts w:ascii="David" w:hAnsi="David" w:cs="David"/>
          <w:sz w:val="24"/>
          <w:szCs w:val="24"/>
          <w:rtl/>
        </w:rPr>
      </w:pPr>
      <w:r w:rsidRPr="008551B8">
        <w:rPr>
          <w:rFonts w:ascii="David" w:hAnsi="David" w:cs="David"/>
          <w:sz w:val="24"/>
          <w:szCs w:val="24"/>
          <w:rtl/>
        </w:rPr>
        <w:t>ב</w:t>
      </w:r>
      <w:r w:rsidR="009335A9">
        <w:rPr>
          <w:rFonts w:ascii="David" w:hAnsi="David" w:cs="David"/>
          <w:sz w:val="24"/>
          <w:szCs w:val="24"/>
          <w:rtl/>
        </w:rPr>
        <w:t>הליך בוררות התקיימו מספר דיונים</w:t>
      </w:r>
      <w:r w:rsidR="009335A9">
        <w:rPr>
          <w:rFonts w:ascii="David" w:hAnsi="David" w:cs="David" w:hint="cs"/>
          <w:sz w:val="24"/>
          <w:szCs w:val="24"/>
          <w:rtl/>
        </w:rPr>
        <w:t xml:space="preserve"> מיום </w:t>
      </w:r>
      <w:r w:rsidR="00564D98" w:rsidRPr="009335A9">
        <w:rPr>
          <w:rFonts w:ascii="David" w:hAnsi="David" w:cs="David"/>
          <w:sz w:val="24"/>
          <w:szCs w:val="24"/>
          <w:rtl/>
        </w:rPr>
        <w:t xml:space="preserve"> 13/12/18</w:t>
      </w:r>
      <w:r w:rsidR="009335A9">
        <w:rPr>
          <w:rFonts w:ascii="David" w:hAnsi="David" w:cs="David" w:hint="cs"/>
          <w:sz w:val="24"/>
          <w:szCs w:val="24"/>
          <w:rtl/>
        </w:rPr>
        <w:t>, 2/1/2019,  11/6/2019</w:t>
      </w:r>
    </w:p>
    <w:p w:rsidR="008551B8" w:rsidRDefault="009335A9" w:rsidP="002931B7">
      <w:pPr>
        <w:pStyle w:val="af"/>
        <w:spacing w:line="360" w:lineRule="auto"/>
        <w:ind w:left="360"/>
        <w:jc w:val="both"/>
        <w:rPr>
          <w:rFonts w:ascii="David" w:hAnsi="David" w:cs="David"/>
          <w:sz w:val="24"/>
          <w:szCs w:val="24"/>
          <w:rtl/>
        </w:rPr>
      </w:pPr>
      <w:r>
        <w:rPr>
          <w:rFonts w:ascii="David" w:hAnsi="David" w:cs="David" w:hint="cs"/>
          <w:sz w:val="24"/>
          <w:szCs w:val="24"/>
          <w:rtl/>
        </w:rPr>
        <w:t>כאשר במהלך הדיונים מונה מומחה אשר הגיש חוות דעת ואף נחקר על חוות דעתו.</w:t>
      </w:r>
    </w:p>
    <w:p w:rsidR="009335A9" w:rsidRPr="009335A9" w:rsidRDefault="009335A9" w:rsidP="002931B7">
      <w:pPr>
        <w:pStyle w:val="af"/>
        <w:spacing w:line="360" w:lineRule="auto"/>
        <w:ind w:left="360"/>
        <w:jc w:val="both"/>
        <w:rPr>
          <w:rFonts w:ascii="David" w:hAnsi="David" w:cs="David"/>
          <w:sz w:val="24"/>
          <w:szCs w:val="24"/>
          <w:rtl/>
        </w:rPr>
      </w:pPr>
      <w:r>
        <w:rPr>
          <w:rFonts w:ascii="David" w:hAnsi="David" w:cs="David" w:hint="cs"/>
          <w:sz w:val="24"/>
          <w:szCs w:val="24"/>
          <w:rtl/>
        </w:rPr>
        <w:t>הצדדים הגישו סיכומים בכתב והתובעים הגישו סיכומי תשובה.</w:t>
      </w:r>
    </w:p>
    <w:p w:rsidR="008551B8" w:rsidRPr="008551B8" w:rsidRDefault="008551B8" w:rsidP="002931B7">
      <w:pPr>
        <w:pStyle w:val="af"/>
        <w:spacing w:line="360" w:lineRule="auto"/>
        <w:ind w:left="360"/>
        <w:jc w:val="both"/>
        <w:rPr>
          <w:rFonts w:ascii="David" w:hAnsi="David" w:cs="David"/>
          <w:sz w:val="24"/>
          <w:szCs w:val="24"/>
          <w:rtl/>
        </w:rPr>
      </w:pPr>
      <w:r w:rsidRPr="008551B8">
        <w:rPr>
          <w:rFonts w:ascii="David" w:hAnsi="David" w:cs="David"/>
          <w:sz w:val="24"/>
          <w:szCs w:val="24"/>
          <w:rtl/>
        </w:rPr>
        <w:t>בתאריך 12/4/20 נתנה הבוררת פסק בורר בשתי ת</w:t>
      </w:r>
      <w:r w:rsidR="00057AEB">
        <w:rPr>
          <w:rFonts w:ascii="David" w:hAnsi="David" w:cs="David"/>
          <w:sz w:val="24"/>
          <w:szCs w:val="24"/>
          <w:rtl/>
        </w:rPr>
        <w:t xml:space="preserve">ביעות לפירוק שיתוף ודמי שימוש. </w:t>
      </w:r>
    </w:p>
    <w:p w:rsidR="008551B8" w:rsidRPr="009335A9" w:rsidRDefault="008551B8" w:rsidP="002931B7">
      <w:pPr>
        <w:pStyle w:val="af"/>
        <w:spacing w:line="360" w:lineRule="auto"/>
        <w:ind w:left="360"/>
        <w:jc w:val="both"/>
        <w:rPr>
          <w:rFonts w:ascii="David" w:hAnsi="David" w:cs="David"/>
          <w:sz w:val="24"/>
          <w:szCs w:val="24"/>
          <w:rtl/>
        </w:rPr>
      </w:pPr>
      <w:r w:rsidRPr="008551B8">
        <w:rPr>
          <w:rFonts w:ascii="David" w:hAnsi="David" w:cs="David"/>
          <w:sz w:val="24"/>
          <w:szCs w:val="24"/>
          <w:rtl/>
        </w:rPr>
        <w:t>בין ובין, ב17/6/20 הוגשה תביעה דנן -"בקשה לביטול פסק בוררות".</w:t>
      </w:r>
    </w:p>
    <w:p w:rsidR="008551B8" w:rsidRDefault="008551B8" w:rsidP="002931B7">
      <w:pPr>
        <w:pStyle w:val="af"/>
        <w:spacing w:line="360" w:lineRule="auto"/>
        <w:ind w:left="360"/>
        <w:jc w:val="both"/>
        <w:rPr>
          <w:rFonts w:ascii="David" w:hAnsi="David" w:cs="David"/>
          <w:sz w:val="24"/>
          <w:szCs w:val="24"/>
        </w:rPr>
      </w:pPr>
      <w:r w:rsidRPr="008551B8">
        <w:rPr>
          <w:rFonts w:ascii="David" w:hAnsi="David" w:cs="David"/>
          <w:sz w:val="24"/>
          <w:szCs w:val="24"/>
          <w:rtl/>
        </w:rPr>
        <w:t>בתא</w:t>
      </w:r>
      <w:r w:rsidR="00057AEB">
        <w:rPr>
          <w:rFonts w:ascii="David" w:hAnsi="David" w:cs="David"/>
          <w:sz w:val="24"/>
          <w:szCs w:val="24"/>
          <w:rtl/>
        </w:rPr>
        <w:t>ריך 29/6/20 פנה עו"ד דרעי ב"כ</w:t>
      </w:r>
      <w:r w:rsidR="00057AEB">
        <w:rPr>
          <w:rFonts w:ascii="David" w:hAnsi="David" w:cs="David" w:hint="cs"/>
          <w:sz w:val="24"/>
          <w:szCs w:val="24"/>
          <w:rtl/>
        </w:rPr>
        <w:t xml:space="preserve"> </w:t>
      </w:r>
      <w:r w:rsidRPr="008551B8">
        <w:rPr>
          <w:rFonts w:ascii="David" w:hAnsi="David" w:cs="David"/>
          <w:sz w:val="24"/>
          <w:szCs w:val="24"/>
          <w:rtl/>
        </w:rPr>
        <w:t>-הנתבע, לבוררת בבקשה לקבוע מועד דיון ב</w:t>
      </w:r>
      <w:r w:rsidR="00057AEB">
        <w:rPr>
          <w:rFonts w:ascii="David" w:hAnsi="David" w:cs="David"/>
          <w:sz w:val="24"/>
          <w:szCs w:val="24"/>
          <w:rtl/>
        </w:rPr>
        <w:t>תביעות . הבוררת קבעה דיון ל5/7</w:t>
      </w:r>
      <w:r w:rsidR="00057AEB">
        <w:rPr>
          <w:rFonts w:ascii="David" w:hAnsi="David" w:cs="David" w:hint="cs"/>
          <w:sz w:val="24"/>
          <w:szCs w:val="24"/>
          <w:rtl/>
        </w:rPr>
        <w:t xml:space="preserve">. </w:t>
      </w:r>
      <w:r w:rsidR="00AF02B4">
        <w:rPr>
          <w:rFonts w:ascii="David" w:hAnsi="David" w:cs="David" w:hint="cs"/>
          <w:sz w:val="24"/>
          <w:szCs w:val="24"/>
          <w:rtl/>
        </w:rPr>
        <w:t xml:space="preserve"> אך </w:t>
      </w:r>
      <w:r w:rsidR="00057AEB">
        <w:rPr>
          <w:rFonts w:ascii="David" w:hAnsi="David" w:cs="David" w:hint="cs"/>
          <w:sz w:val="24"/>
          <w:szCs w:val="24"/>
          <w:rtl/>
        </w:rPr>
        <w:t>לאור צו המניעה שניתן ע"י ביהמ"ש ע</w:t>
      </w:r>
      <w:r w:rsidR="00AF02B4">
        <w:rPr>
          <w:rFonts w:ascii="David" w:hAnsi="David" w:cs="David" w:hint="cs"/>
          <w:sz w:val="24"/>
          <w:szCs w:val="24"/>
          <w:rtl/>
        </w:rPr>
        <w:t>וכב הליך הבוררות ולא התקיים דיון המשך בתיקים הנוספים.</w:t>
      </w:r>
    </w:p>
    <w:p w:rsidR="00057AEB" w:rsidRDefault="00057AEB" w:rsidP="002931B7">
      <w:pPr>
        <w:pStyle w:val="af"/>
        <w:spacing w:line="360" w:lineRule="auto"/>
        <w:ind w:left="360"/>
        <w:jc w:val="both"/>
        <w:rPr>
          <w:rFonts w:ascii="David" w:hAnsi="David" w:cs="David"/>
          <w:sz w:val="24"/>
          <w:szCs w:val="24"/>
        </w:rPr>
      </w:pPr>
    </w:p>
    <w:p w:rsidR="007365E3" w:rsidRDefault="007365E3" w:rsidP="002931B7">
      <w:pPr>
        <w:pStyle w:val="af"/>
        <w:numPr>
          <w:ilvl w:val="0"/>
          <w:numId w:val="2"/>
        </w:numPr>
        <w:spacing w:line="360" w:lineRule="auto"/>
        <w:jc w:val="both"/>
        <w:rPr>
          <w:rFonts w:ascii="David" w:hAnsi="David" w:cs="David"/>
          <w:sz w:val="24"/>
          <w:szCs w:val="24"/>
        </w:rPr>
      </w:pPr>
      <w:r w:rsidRPr="007365E3">
        <w:rPr>
          <w:rFonts w:ascii="David" w:hAnsi="David" w:cs="David"/>
          <w:sz w:val="24"/>
          <w:szCs w:val="24"/>
          <w:rtl/>
        </w:rPr>
        <w:lastRenderedPageBreak/>
        <w:t>במקרה דנן, התובעים לא הוכיחו, בלשון המעטה, ככל שהם מתכוונים לכך- כי התנהלות הבוררת גרמה להתארכות בהליכי הבוררות, בוודאי לא הוכיחו כי גרמה ל"עינוי דין" כמשמעה בסעיף11(2) לחוק הבוררות</w:t>
      </w:r>
      <w:r>
        <w:rPr>
          <w:rFonts w:ascii="David" w:hAnsi="David" w:cs="David"/>
          <w:sz w:val="24"/>
          <w:szCs w:val="24"/>
          <w:rtl/>
        </w:rPr>
        <w:t xml:space="preserve"> </w:t>
      </w:r>
      <w:r>
        <w:rPr>
          <w:rFonts w:ascii="David" w:hAnsi="David" w:cs="David" w:hint="cs"/>
          <w:sz w:val="24"/>
          <w:szCs w:val="24"/>
          <w:rtl/>
        </w:rPr>
        <w:t>.</w:t>
      </w:r>
    </w:p>
    <w:p w:rsidR="007365E3" w:rsidRDefault="007365E3" w:rsidP="002931B7">
      <w:pPr>
        <w:pStyle w:val="af"/>
        <w:spacing w:line="360" w:lineRule="auto"/>
        <w:ind w:left="360"/>
        <w:jc w:val="both"/>
        <w:rPr>
          <w:rFonts w:ascii="David" w:hAnsi="David" w:cs="David"/>
          <w:sz w:val="24"/>
          <w:szCs w:val="24"/>
        </w:rPr>
      </w:pPr>
      <w:r w:rsidRPr="007365E3">
        <w:rPr>
          <w:rFonts w:ascii="David" w:hAnsi="David" w:cs="David"/>
          <w:sz w:val="24"/>
          <w:szCs w:val="24"/>
          <w:rtl/>
        </w:rPr>
        <w:t xml:space="preserve"> </w:t>
      </w:r>
    </w:p>
    <w:p w:rsidR="00057AEB" w:rsidRPr="00382E05" w:rsidRDefault="00057AEB" w:rsidP="002931B7">
      <w:pPr>
        <w:pStyle w:val="af"/>
        <w:numPr>
          <w:ilvl w:val="0"/>
          <w:numId w:val="2"/>
        </w:numPr>
        <w:spacing w:line="360" w:lineRule="auto"/>
        <w:jc w:val="both"/>
        <w:rPr>
          <w:rFonts w:ascii="David" w:hAnsi="David" w:cs="David"/>
          <w:sz w:val="24"/>
          <w:szCs w:val="24"/>
          <w:rtl/>
        </w:rPr>
      </w:pPr>
      <w:r w:rsidRPr="00057AEB">
        <w:rPr>
          <w:rFonts w:ascii="David" w:hAnsi="David" w:cs="David"/>
          <w:sz w:val="24"/>
          <w:szCs w:val="24"/>
          <w:rtl/>
        </w:rPr>
        <w:t xml:space="preserve">לדעתי, לא נפל </w:t>
      </w:r>
      <w:r w:rsidR="00382E05">
        <w:rPr>
          <w:rFonts w:ascii="David" w:hAnsi="David" w:cs="David" w:hint="cs"/>
          <w:sz w:val="24"/>
          <w:szCs w:val="24"/>
          <w:rtl/>
        </w:rPr>
        <w:t xml:space="preserve">כל  פגם ו/או </w:t>
      </w:r>
      <w:r w:rsidRPr="00382E05">
        <w:rPr>
          <w:rFonts w:ascii="David" w:hAnsi="David" w:cs="David"/>
          <w:sz w:val="24"/>
          <w:szCs w:val="24"/>
          <w:rtl/>
        </w:rPr>
        <w:t>פגם של ממש בניהול הליך הבוררות. הבוררת ובשים לב למועד העברת התיקים להכרעתה  ניהלה את הל</w:t>
      </w:r>
      <w:r w:rsidR="00382E05">
        <w:rPr>
          <w:rFonts w:ascii="David" w:hAnsi="David" w:cs="David"/>
          <w:sz w:val="24"/>
          <w:szCs w:val="24"/>
          <w:rtl/>
        </w:rPr>
        <w:t>יך הבוררת, בזמן סביר</w:t>
      </w:r>
      <w:r w:rsidR="00382E05">
        <w:rPr>
          <w:rFonts w:ascii="David" w:hAnsi="David" w:cs="David" w:hint="cs"/>
          <w:sz w:val="24"/>
          <w:szCs w:val="24"/>
          <w:rtl/>
        </w:rPr>
        <w:t xml:space="preserve">. </w:t>
      </w:r>
      <w:r w:rsidRPr="00382E05">
        <w:rPr>
          <w:rFonts w:ascii="David" w:hAnsi="David" w:cs="David"/>
          <w:sz w:val="24"/>
          <w:szCs w:val="24"/>
          <w:rtl/>
        </w:rPr>
        <w:t xml:space="preserve">אף התרשמתי כי </w:t>
      </w:r>
      <w:r w:rsidR="00AF02B4" w:rsidRPr="00382E05">
        <w:rPr>
          <w:rFonts w:ascii="David" w:hAnsi="David" w:cs="David" w:hint="cs"/>
          <w:sz w:val="24"/>
          <w:szCs w:val="24"/>
          <w:rtl/>
        </w:rPr>
        <w:t>ה</w:t>
      </w:r>
      <w:r w:rsidRPr="00382E05">
        <w:rPr>
          <w:rFonts w:ascii="David" w:hAnsi="David" w:cs="David"/>
          <w:sz w:val="24"/>
          <w:szCs w:val="24"/>
          <w:rtl/>
        </w:rPr>
        <w:t>בוררת עשתה כל ביכולתה כדי לקדם את בירור הסכסוך בין הצדדים באופן יעיל ומסודר.</w:t>
      </w:r>
    </w:p>
    <w:p w:rsidR="00F15AC3" w:rsidRDefault="00057AEB" w:rsidP="002931B7">
      <w:pPr>
        <w:pStyle w:val="af"/>
        <w:spacing w:line="360" w:lineRule="auto"/>
        <w:ind w:left="360"/>
        <w:jc w:val="both"/>
        <w:rPr>
          <w:rFonts w:ascii="David" w:hAnsi="David" w:cs="David"/>
          <w:sz w:val="24"/>
          <w:szCs w:val="24"/>
          <w:rtl/>
        </w:rPr>
      </w:pPr>
      <w:r w:rsidRPr="00057AEB">
        <w:rPr>
          <w:rFonts w:ascii="David" w:hAnsi="David" w:cs="David"/>
          <w:sz w:val="24"/>
          <w:szCs w:val="24"/>
          <w:rtl/>
        </w:rPr>
        <w:t>הדברים נכונים בהתחשב בכך שמדובר במספר לא מבוטל של תביעות, כאמור, נקבע</w:t>
      </w:r>
      <w:r w:rsidR="00382E05">
        <w:rPr>
          <w:rFonts w:ascii="David" w:hAnsi="David" w:cs="David" w:hint="cs"/>
          <w:sz w:val="24"/>
          <w:szCs w:val="24"/>
          <w:rtl/>
        </w:rPr>
        <w:t>ו</w:t>
      </w:r>
      <w:r w:rsidR="00382E05">
        <w:rPr>
          <w:rFonts w:ascii="David" w:hAnsi="David" w:cs="David"/>
          <w:sz w:val="24"/>
          <w:szCs w:val="24"/>
          <w:rtl/>
        </w:rPr>
        <w:t xml:space="preserve"> שני שלבי דיונים</w:t>
      </w:r>
      <w:r w:rsidR="00382E05">
        <w:rPr>
          <w:rFonts w:ascii="David" w:hAnsi="David" w:cs="David" w:hint="cs"/>
          <w:sz w:val="24"/>
          <w:szCs w:val="24"/>
          <w:rtl/>
        </w:rPr>
        <w:t xml:space="preserve">, </w:t>
      </w:r>
      <w:r w:rsidRPr="00057AEB">
        <w:rPr>
          <w:rFonts w:ascii="David" w:hAnsi="David" w:cs="David"/>
          <w:sz w:val="24"/>
          <w:szCs w:val="24"/>
          <w:rtl/>
        </w:rPr>
        <w:t xml:space="preserve">התקיימו מספר דיונים, מונה אף מומחה מטעם הבוררת. הבוררת סיימה כבר שתי תביעות </w:t>
      </w:r>
      <w:r w:rsidR="005B4068">
        <w:rPr>
          <w:rFonts w:ascii="David" w:hAnsi="David" w:cs="David"/>
          <w:sz w:val="24"/>
          <w:szCs w:val="24"/>
          <w:rtl/>
        </w:rPr>
        <w:t xml:space="preserve">בפסק בורר. </w:t>
      </w:r>
    </w:p>
    <w:p w:rsidR="00F15AC3" w:rsidRDefault="00AF02B4" w:rsidP="002931B7">
      <w:pPr>
        <w:pStyle w:val="af"/>
        <w:spacing w:line="360" w:lineRule="auto"/>
        <w:ind w:left="360"/>
        <w:jc w:val="both"/>
        <w:rPr>
          <w:rFonts w:ascii="David" w:hAnsi="David" w:cs="David"/>
          <w:sz w:val="24"/>
          <w:szCs w:val="24"/>
          <w:rtl/>
        </w:rPr>
      </w:pPr>
      <w:r w:rsidRPr="00F15AC3">
        <w:rPr>
          <w:rFonts w:ascii="David" w:hAnsi="David" w:cs="David" w:hint="cs"/>
          <w:sz w:val="24"/>
          <w:szCs w:val="24"/>
          <w:rtl/>
        </w:rPr>
        <w:t>הדיון להמשך הבוררות וביתר התיקים נקבע כחודשיים לאחר  מתן פסק הבורר,</w:t>
      </w:r>
      <w:r w:rsidR="00F15AC3">
        <w:rPr>
          <w:rFonts w:ascii="David" w:hAnsi="David" w:cs="David" w:hint="cs"/>
          <w:sz w:val="24"/>
          <w:szCs w:val="24"/>
          <w:rtl/>
        </w:rPr>
        <w:t xml:space="preserve"> אך כאמור עוכב עקב צו המניעה שניתן ע"י ביהמ"ש.</w:t>
      </w:r>
    </w:p>
    <w:p w:rsidR="00382E05" w:rsidRPr="00382E05" w:rsidRDefault="00382E05" w:rsidP="002931B7">
      <w:pPr>
        <w:pStyle w:val="af"/>
        <w:spacing w:line="360" w:lineRule="auto"/>
        <w:ind w:left="360"/>
        <w:jc w:val="both"/>
        <w:rPr>
          <w:rFonts w:ascii="David" w:hAnsi="David" w:cs="David"/>
          <w:sz w:val="24"/>
          <w:szCs w:val="24"/>
          <w:rtl/>
        </w:rPr>
      </w:pPr>
    </w:p>
    <w:p w:rsidR="00C313EE" w:rsidRDefault="008D2692" w:rsidP="002931B7">
      <w:pPr>
        <w:pStyle w:val="af"/>
        <w:numPr>
          <w:ilvl w:val="0"/>
          <w:numId w:val="2"/>
        </w:numPr>
        <w:spacing w:line="360" w:lineRule="auto"/>
        <w:jc w:val="both"/>
        <w:rPr>
          <w:rFonts w:ascii="David" w:hAnsi="David" w:cs="David"/>
          <w:sz w:val="24"/>
          <w:szCs w:val="24"/>
        </w:rPr>
      </w:pPr>
      <w:r w:rsidRPr="00134D2E">
        <w:rPr>
          <w:rFonts w:ascii="David" w:hAnsi="David" w:cs="David"/>
          <w:sz w:val="24"/>
          <w:szCs w:val="24"/>
          <w:rtl/>
        </w:rPr>
        <w:t>ב</w:t>
      </w:r>
      <w:r w:rsidRPr="00134D2E">
        <w:rPr>
          <w:rFonts w:ascii="David" w:hAnsi="David" w:cs="David" w:hint="cs"/>
          <w:sz w:val="24"/>
          <w:szCs w:val="24"/>
          <w:rtl/>
        </w:rPr>
        <w:t xml:space="preserve">הקשר זה אוסיף </w:t>
      </w:r>
      <w:r w:rsidR="00382E05">
        <w:rPr>
          <w:rFonts w:ascii="David" w:hAnsi="David" w:cs="David" w:hint="cs"/>
          <w:sz w:val="24"/>
          <w:szCs w:val="24"/>
          <w:rtl/>
        </w:rPr>
        <w:t>כי,</w:t>
      </w:r>
      <w:r w:rsidRPr="00134D2E">
        <w:rPr>
          <w:rFonts w:ascii="David" w:hAnsi="David" w:cs="David"/>
          <w:sz w:val="24"/>
          <w:szCs w:val="24"/>
          <w:rtl/>
        </w:rPr>
        <w:t xml:space="preserve"> הבוררת טרם החלה לדון בשאר התביעות, מלבד </w:t>
      </w:r>
      <w:r w:rsidR="00134D2E" w:rsidRPr="00134D2E">
        <w:rPr>
          <w:rFonts w:ascii="David" w:hAnsi="David" w:cs="David" w:hint="cs"/>
          <w:sz w:val="24"/>
          <w:szCs w:val="24"/>
          <w:rtl/>
        </w:rPr>
        <w:t>ה</w:t>
      </w:r>
      <w:r w:rsidR="00134D2E">
        <w:rPr>
          <w:rFonts w:ascii="David" w:hAnsi="David" w:cs="David"/>
          <w:sz w:val="24"/>
          <w:szCs w:val="24"/>
          <w:rtl/>
        </w:rPr>
        <w:t>תביעה לפירוק שיתוף ודמי שימוש</w:t>
      </w:r>
      <w:r w:rsidR="00C313EE">
        <w:rPr>
          <w:rFonts w:ascii="David" w:hAnsi="David" w:cs="David" w:hint="cs"/>
          <w:sz w:val="24"/>
          <w:szCs w:val="24"/>
          <w:rtl/>
        </w:rPr>
        <w:t>(בהן ניתן  כבר פסק בורר) לאור צו המניעה שנתן ע"י ביהמ"ש.</w:t>
      </w:r>
    </w:p>
    <w:p w:rsidR="00134D2E" w:rsidRDefault="00134D2E" w:rsidP="002931B7">
      <w:pPr>
        <w:pStyle w:val="af"/>
        <w:spacing w:line="360" w:lineRule="auto"/>
        <w:ind w:left="360"/>
        <w:jc w:val="both"/>
        <w:rPr>
          <w:rFonts w:ascii="David" w:hAnsi="David" w:cs="David"/>
          <w:sz w:val="24"/>
          <w:szCs w:val="24"/>
        </w:rPr>
      </w:pPr>
      <w:r>
        <w:rPr>
          <w:rFonts w:ascii="David" w:hAnsi="David" w:cs="David" w:hint="cs"/>
          <w:sz w:val="24"/>
          <w:szCs w:val="24"/>
          <w:rtl/>
        </w:rPr>
        <w:t xml:space="preserve"> </w:t>
      </w:r>
      <w:r w:rsidRPr="00134D2E">
        <w:rPr>
          <w:rFonts w:ascii="David" w:hAnsi="David" w:cs="David"/>
          <w:sz w:val="24"/>
          <w:szCs w:val="24"/>
          <w:rtl/>
        </w:rPr>
        <w:t>איני מקבלת ניס</w:t>
      </w:r>
      <w:r w:rsidR="00893D05">
        <w:rPr>
          <w:rFonts w:ascii="David" w:hAnsi="David" w:cs="David" w:hint="cs"/>
          <w:sz w:val="24"/>
          <w:szCs w:val="24"/>
          <w:rtl/>
        </w:rPr>
        <w:t>י</w:t>
      </w:r>
      <w:r w:rsidRPr="00134D2E">
        <w:rPr>
          <w:rFonts w:ascii="David" w:hAnsi="David" w:cs="David"/>
          <w:sz w:val="24"/>
          <w:szCs w:val="24"/>
          <w:rtl/>
        </w:rPr>
        <w:t>ון הנתבעת2 להוכיח</w:t>
      </w:r>
      <w:r>
        <w:rPr>
          <w:rFonts w:ascii="David" w:hAnsi="David" w:cs="David" w:hint="cs"/>
          <w:sz w:val="24"/>
          <w:szCs w:val="24"/>
          <w:rtl/>
        </w:rPr>
        <w:t xml:space="preserve"> </w:t>
      </w:r>
      <w:r w:rsidR="00C313EE">
        <w:rPr>
          <w:rFonts w:ascii="David" w:hAnsi="David" w:cs="David" w:hint="cs"/>
          <w:sz w:val="24"/>
          <w:szCs w:val="24"/>
          <w:rtl/>
        </w:rPr>
        <w:t>כי הבוררת התחילה לשמוע יתר התיקים.</w:t>
      </w:r>
    </w:p>
    <w:p w:rsidR="001539C5" w:rsidRDefault="008D2692" w:rsidP="00893D05">
      <w:pPr>
        <w:pStyle w:val="af"/>
        <w:spacing w:line="360" w:lineRule="auto"/>
        <w:ind w:left="360"/>
        <w:jc w:val="both"/>
        <w:rPr>
          <w:rFonts w:ascii="David" w:hAnsi="David" w:cs="David"/>
          <w:sz w:val="24"/>
          <w:szCs w:val="24"/>
          <w:rtl/>
        </w:rPr>
      </w:pPr>
      <w:r w:rsidRPr="00134D2E">
        <w:rPr>
          <w:rFonts w:ascii="David" w:hAnsi="David" w:cs="David"/>
          <w:sz w:val="24"/>
          <w:szCs w:val="24"/>
          <w:rtl/>
        </w:rPr>
        <w:t>לא הובאו ראי</w:t>
      </w:r>
      <w:r w:rsidR="00134D2E">
        <w:rPr>
          <w:rFonts w:ascii="David" w:hAnsi="David" w:cs="David"/>
          <w:sz w:val="24"/>
          <w:szCs w:val="24"/>
          <w:rtl/>
        </w:rPr>
        <w:t xml:space="preserve">ות לתחילת </w:t>
      </w:r>
      <w:r w:rsidR="00893D05">
        <w:rPr>
          <w:rFonts w:ascii="David" w:hAnsi="David" w:cs="David" w:hint="cs"/>
          <w:sz w:val="24"/>
          <w:szCs w:val="24"/>
          <w:rtl/>
        </w:rPr>
        <w:t>ה</w:t>
      </w:r>
      <w:r w:rsidR="00134D2E">
        <w:rPr>
          <w:rFonts w:ascii="David" w:hAnsi="David" w:cs="David"/>
          <w:sz w:val="24"/>
          <w:szCs w:val="24"/>
          <w:rtl/>
        </w:rPr>
        <w:t>בוררות בתביעות האחרות</w:t>
      </w:r>
      <w:r w:rsidR="00134D2E">
        <w:rPr>
          <w:rFonts w:ascii="David" w:hAnsi="David" w:cs="David" w:hint="cs"/>
          <w:sz w:val="24"/>
          <w:szCs w:val="24"/>
          <w:rtl/>
        </w:rPr>
        <w:t>, נקבע דיון אך לא התקיים עקב צו המניעה שניתן ע"י ביהמ"ש.</w:t>
      </w:r>
      <w:r w:rsidR="00C313EE">
        <w:rPr>
          <w:rFonts w:ascii="David" w:hAnsi="David" w:cs="David" w:hint="cs"/>
          <w:sz w:val="24"/>
          <w:szCs w:val="24"/>
          <w:rtl/>
        </w:rPr>
        <w:t xml:space="preserve"> </w:t>
      </w:r>
      <w:r w:rsidRPr="00134D2E">
        <w:rPr>
          <w:rFonts w:ascii="David" w:hAnsi="David" w:cs="David"/>
          <w:sz w:val="24"/>
          <w:szCs w:val="24"/>
          <w:rtl/>
        </w:rPr>
        <w:t>הנתבעת  טענה להתקיימות מספר ישיבות, הגשת בקשות ותגובות, מתן החלטות, מינוי מומחה וחקירתו</w:t>
      </w:r>
      <w:r w:rsidR="00134D2E">
        <w:rPr>
          <w:rFonts w:ascii="David" w:hAnsi="David" w:cs="David" w:hint="cs"/>
          <w:sz w:val="24"/>
          <w:szCs w:val="24"/>
          <w:rtl/>
        </w:rPr>
        <w:t xml:space="preserve">, אולם </w:t>
      </w:r>
      <w:r w:rsidRPr="00134D2E">
        <w:rPr>
          <w:rFonts w:ascii="David" w:hAnsi="David" w:cs="David"/>
          <w:sz w:val="24"/>
          <w:szCs w:val="24"/>
          <w:rtl/>
        </w:rPr>
        <w:t>אלה מתייחסים לשתי התביעות</w:t>
      </w:r>
      <w:r w:rsidR="00134D2E">
        <w:rPr>
          <w:rFonts w:ascii="David" w:hAnsi="David" w:cs="David"/>
          <w:sz w:val="24"/>
          <w:szCs w:val="24"/>
          <w:rtl/>
        </w:rPr>
        <w:t xml:space="preserve"> פירוק שיתוף ודמי שימוש בעיקר</w:t>
      </w:r>
      <w:r w:rsidRPr="00134D2E">
        <w:rPr>
          <w:rFonts w:ascii="David" w:hAnsi="David" w:cs="David"/>
          <w:sz w:val="24"/>
          <w:szCs w:val="24"/>
          <w:rtl/>
        </w:rPr>
        <w:t>, שכן אלה הם שנדונו בשלב הראשון של הדיון כאמור.</w:t>
      </w:r>
    </w:p>
    <w:p w:rsidR="00C26E68" w:rsidRPr="00C26E68" w:rsidRDefault="00C26E68" w:rsidP="002931B7">
      <w:pPr>
        <w:pStyle w:val="af"/>
        <w:spacing w:line="360" w:lineRule="auto"/>
        <w:ind w:left="360"/>
        <w:jc w:val="both"/>
        <w:rPr>
          <w:rFonts w:ascii="David" w:hAnsi="David" w:cs="David"/>
          <w:sz w:val="24"/>
          <w:szCs w:val="24"/>
        </w:rPr>
      </w:pPr>
    </w:p>
    <w:p w:rsidR="00C26E68" w:rsidRPr="00C313EE" w:rsidRDefault="00490706" w:rsidP="002931B7">
      <w:pPr>
        <w:pStyle w:val="af"/>
        <w:numPr>
          <w:ilvl w:val="0"/>
          <w:numId w:val="2"/>
        </w:numPr>
        <w:spacing w:line="360" w:lineRule="auto"/>
        <w:jc w:val="both"/>
        <w:rPr>
          <w:rFonts w:ascii="David" w:hAnsi="David" w:cs="David"/>
          <w:sz w:val="24"/>
          <w:szCs w:val="24"/>
        </w:rPr>
      </w:pPr>
      <w:r w:rsidRPr="001539C5">
        <w:rPr>
          <w:rFonts w:ascii="David" w:hAnsi="David" w:cs="David"/>
          <w:sz w:val="24"/>
          <w:szCs w:val="24"/>
          <w:rtl/>
        </w:rPr>
        <w:t>התובעים לא בקשו לפסול את הבוררת בזמן אמת במהלך הליך הבוררות,(למשל במעמד הדיון או במייד/סמוך לאחריו) והמשיכו בשלהם, ומצאו נכון להעלות טענות אלה, במסגרת הליך כאן, לאחר שניתן פסק הבוררות</w:t>
      </w:r>
      <w:r w:rsidR="00EA5CCB" w:rsidRPr="001539C5">
        <w:rPr>
          <w:rFonts w:ascii="David" w:hAnsi="David" w:cs="David" w:hint="cs"/>
          <w:sz w:val="24"/>
          <w:szCs w:val="24"/>
          <w:rtl/>
        </w:rPr>
        <w:t xml:space="preserve">, שאינו לרוחם. </w:t>
      </w:r>
    </w:p>
    <w:p w:rsidR="001539C5" w:rsidRPr="001539C5" w:rsidRDefault="001539C5" w:rsidP="002931B7">
      <w:pPr>
        <w:pStyle w:val="af"/>
        <w:spacing w:line="360" w:lineRule="auto"/>
        <w:ind w:left="360"/>
        <w:jc w:val="both"/>
        <w:rPr>
          <w:rFonts w:ascii="David" w:hAnsi="David" w:cs="David"/>
          <w:sz w:val="24"/>
          <w:szCs w:val="24"/>
          <w:rtl/>
        </w:rPr>
      </w:pPr>
      <w:r w:rsidRPr="001539C5">
        <w:rPr>
          <w:rFonts w:ascii="David" w:hAnsi="David" w:cs="David"/>
          <w:sz w:val="24"/>
          <w:szCs w:val="24"/>
          <w:rtl/>
        </w:rPr>
        <w:t>התובע ועו"ד עותמאן, ניסו בעדותם להרשים כי כבר בישיבה הראשונה, נוצר</w:t>
      </w:r>
      <w:r w:rsidR="00C313EE">
        <w:rPr>
          <w:rFonts w:ascii="David" w:hAnsi="David" w:cs="David" w:hint="cs"/>
          <w:sz w:val="24"/>
          <w:szCs w:val="24"/>
          <w:rtl/>
        </w:rPr>
        <w:t>ה</w:t>
      </w:r>
      <w:r w:rsidRPr="001539C5">
        <w:rPr>
          <w:rFonts w:ascii="David" w:hAnsi="David" w:cs="David"/>
          <w:sz w:val="24"/>
          <w:szCs w:val="24"/>
          <w:rtl/>
        </w:rPr>
        <w:t xml:space="preserve"> תחושה לא נוחה מהתנהלות הבוררת  לטובת הצד השני.</w:t>
      </w:r>
    </w:p>
    <w:p w:rsidR="001539C5" w:rsidRPr="001539C5" w:rsidRDefault="001539C5" w:rsidP="002931B7">
      <w:pPr>
        <w:pStyle w:val="af"/>
        <w:spacing w:line="360" w:lineRule="auto"/>
        <w:ind w:left="360"/>
        <w:jc w:val="both"/>
        <w:rPr>
          <w:rFonts w:ascii="David" w:hAnsi="David" w:cs="David"/>
          <w:sz w:val="24"/>
          <w:szCs w:val="24"/>
          <w:rtl/>
        </w:rPr>
      </w:pPr>
      <w:r w:rsidRPr="001539C5">
        <w:rPr>
          <w:rFonts w:ascii="David" w:hAnsi="David" w:cs="David"/>
          <w:sz w:val="24"/>
          <w:szCs w:val="24"/>
          <w:rtl/>
        </w:rPr>
        <w:t xml:space="preserve">התובע העיד: </w:t>
      </w:r>
      <w:r w:rsidRPr="00C313EE">
        <w:rPr>
          <w:rFonts w:ascii="David" w:hAnsi="David" w:cs="David"/>
          <w:b/>
          <w:bCs/>
          <w:sz w:val="24"/>
          <w:szCs w:val="24"/>
          <w:rtl/>
        </w:rPr>
        <w:t>"אני לאורך כל הדיונים דעתי לא נחה מהתנהלות הבוררת ... לאורך כל הדיון הנורות האדומות שלי דלקו.."</w:t>
      </w:r>
      <w:r w:rsidRPr="001539C5">
        <w:rPr>
          <w:rFonts w:ascii="David" w:hAnsi="David" w:cs="David"/>
          <w:sz w:val="24"/>
          <w:szCs w:val="24"/>
          <w:rtl/>
        </w:rPr>
        <w:t xml:space="preserve"> (עמ11ש27-33) (עמ10ש28-33</w:t>
      </w:r>
      <w:r w:rsidR="00893D05">
        <w:rPr>
          <w:rFonts w:ascii="David" w:hAnsi="David" w:cs="David"/>
          <w:sz w:val="24"/>
          <w:szCs w:val="24"/>
          <w:rtl/>
        </w:rPr>
        <w:t xml:space="preserve">0). גם לפי עדות עו"ד עותמאן </w:t>
      </w:r>
      <w:r w:rsidRPr="001539C5">
        <w:rPr>
          <w:rFonts w:ascii="David" w:hAnsi="David" w:cs="David"/>
          <w:sz w:val="24"/>
          <w:szCs w:val="24"/>
          <w:rtl/>
        </w:rPr>
        <w:t>, כבר בישיבה הראשונה הרגיש שמדובר ב</w:t>
      </w:r>
      <w:r w:rsidR="00C313EE">
        <w:rPr>
          <w:rFonts w:ascii="David" w:hAnsi="David" w:cs="David"/>
          <w:sz w:val="24"/>
          <w:szCs w:val="24"/>
          <w:rtl/>
        </w:rPr>
        <w:t>בוררות מוטה, (עמ2- 4, עמ5ש24-36</w:t>
      </w:r>
      <w:r w:rsidRPr="001539C5">
        <w:rPr>
          <w:rFonts w:ascii="David" w:hAnsi="David" w:cs="David"/>
          <w:sz w:val="24"/>
          <w:szCs w:val="24"/>
          <w:rtl/>
        </w:rPr>
        <w:t xml:space="preserve"> )</w:t>
      </w:r>
      <w:r w:rsidR="00C313EE">
        <w:rPr>
          <w:rFonts w:ascii="David" w:hAnsi="David" w:cs="David" w:hint="cs"/>
          <w:sz w:val="24"/>
          <w:szCs w:val="24"/>
          <w:rtl/>
        </w:rPr>
        <w:t>,</w:t>
      </w:r>
    </w:p>
    <w:p w:rsidR="001539C5" w:rsidRDefault="001539C5" w:rsidP="002931B7">
      <w:pPr>
        <w:pStyle w:val="af"/>
        <w:spacing w:line="360" w:lineRule="auto"/>
        <w:ind w:left="360"/>
        <w:jc w:val="both"/>
        <w:rPr>
          <w:rFonts w:ascii="David" w:hAnsi="David" w:cs="David"/>
          <w:sz w:val="24"/>
          <w:szCs w:val="24"/>
          <w:rtl/>
        </w:rPr>
      </w:pPr>
      <w:r w:rsidRPr="001539C5">
        <w:rPr>
          <w:rFonts w:ascii="David" w:hAnsi="David" w:cs="David"/>
          <w:sz w:val="24"/>
          <w:szCs w:val="24"/>
          <w:rtl/>
        </w:rPr>
        <w:t>חרף זאת, התובע וב"כ לא בקשו לפסול את הבוררת , זאת ללא הסבר משכנע לכך.(עדות איתן עמ11ש1-9</w:t>
      </w:r>
      <w:r w:rsidR="00893D05">
        <w:rPr>
          <w:rFonts w:ascii="David" w:hAnsi="David" w:cs="David" w:hint="cs"/>
          <w:sz w:val="24"/>
          <w:szCs w:val="24"/>
          <w:rtl/>
        </w:rPr>
        <w:t>)</w:t>
      </w:r>
      <w:r w:rsidRPr="001539C5">
        <w:rPr>
          <w:rFonts w:ascii="David" w:hAnsi="David" w:cs="David"/>
          <w:sz w:val="24"/>
          <w:szCs w:val="24"/>
          <w:rtl/>
        </w:rPr>
        <w:t xml:space="preserve">, עדות עו"ד עותמאן, </w:t>
      </w:r>
      <w:r w:rsidR="00893D05">
        <w:rPr>
          <w:rFonts w:ascii="David" w:hAnsi="David" w:cs="David" w:hint="cs"/>
          <w:sz w:val="24"/>
          <w:szCs w:val="24"/>
          <w:rtl/>
        </w:rPr>
        <w:t>(</w:t>
      </w:r>
      <w:r w:rsidRPr="001539C5">
        <w:rPr>
          <w:rFonts w:ascii="David" w:hAnsi="David" w:cs="David"/>
          <w:sz w:val="24"/>
          <w:szCs w:val="24"/>
          <w:rtl/>
        </w:rPr>
        <w:t>עמ3ש22-27, עמ4ש20-29,  עמ10ש4-11</w:t>
      </w:r>
      <w:r w:rsidR="00893D05">
        <w:rPr>
          <w:rFonts w:ascii="David" w:hAnsi="David" w:cs="David" w:hint="cs"/>
          <w:sz w:val="24"/>
          <w:szCs w:val="24"/>
          <w:rtl/>
        </w:rPr>
        <w:t>).</w:t>
      </w:r>
    </w:p>
    <w:p w:rsidR="00C313EE" w:rsidRDefault="00043A3F" w:rsidP="002931B7">
      <w:pPr>
        <w:pStyle w:val="af"/>
        <w:spacing w:line="360" w:lineRule="auto"/>
        <w:ind w:left="360"/>
        <w:jc w:val="both"/>
        <w:rPr>
          <w:rFonts w:ascii="David" w:hAnsi="David" w:cs="David"/>
          <w:sz w:val="24"/>
          <w:szCs w:val="24"/>
          <w:rtl/>
        </w:rPr>
      </w:pPr>
      <w:r>
        <w:rPr>
          <w:rFonts w:ascii="David" w:hAnsi="David" w:cs="David" w:hint="cs"/>
          <w:sz w:val="24"/>
          <w:szCs w:val="24"/>
          <w:rtl/>
        </w:rPr>
        <w:t>אשר על כן,</w:t>
      </w:r>
      <w:r w:rsidR="00C313EE">
        <w:rPr>
          <w:rFonts w:ascii="David" w:hAnsi="David" w:cs="David" w:hint="cs"/>
          <w:sz w:val="24"/>
          <w:szCs w:val="24"/>
          <w:rtl/>
        </w:rPr>
        <w:t xml:space="preserve"> </w:t>
      </w:r>
      <w:r w:rsidRPr="00043A3F">
        <w:rPr>
          <w:rFonts w:ascii="David" w:hAnsi="David" w:cs="David"/>
          <w:sz w:val="24"/>
          <w:szCs w:val="24"/>
          <w:rtl/>
        </w:rPr>
        <w:t>התובעים מושתקים לטעון להעברת הבוררת מתפקידה על בסיס העובדות הנ"ל</w:t>
      </w:r>
      <w:r w:rsidR="00C313EE">
        <w:rPr>
          <w:rFonts w:ascii="David" w:hAnsi="David" w:cs="David" w:hint="cs"/>
          <w:sz w:val="24"/>
          <w:szCs w:val="24"/>
          <w:rtl/>
        </w:rPr>
        <w:t>,</w:t>
      </w:r>
      <w:r w:rsidRPr="00043A3F">
        <w:rPr>
          <w:rFonts w:ascii="David" w:hAnsi="David" w:cs="David"/>
          <w:sz w:val="24"/>
          <w:szCs w:val="24"/>
          <w:rtl/>
        </w:rPr>
        <w:t xml:space="preserve"> בשל השיהוי בו נגועה טענתם ,בקשה להעברת בורר מתפקידו יש להביא בפני בית המשפט מיד כשנודע למבקש על הפגם נשוא הבקשה.</w:t>
      </w:r>
    </w:p>
    <w:p w:rsidR="00130DF8" w:rsidRPr="00C313EE" w:rsidRDefault="00043A3F" w:rsidP="002931B7">
      <w:pPr>
        <w:pStyle w:val="af"/>
        <w:spacing w:line="360" w:lineRule="auto"/>
        <w:ind w:left="360"/>
        <w:jc w:val="both"/>
        <w:rPr>
          <w:rFonts w:ascii="David" w:hAnsi="David" w:cs="David"/>
          <w:sz w:val="24"/>
          <w:szCs w:val="24"/>
          <w:rtl/>
        </w:rPr>
      </w:pPr>
      <w:r w:rsidRPr="00C313EE">
        <w:rPr>
          <w:rFonts w:ascii="David" w:hAnsi="David" w:cs="David" w:hint="cs"/>
          <w:sz w:val="24"/>
          <w:szCs w:val="24"/>
          <w:rtl/>
        </w:rPr>
        <w:lastRenderedPageBreak/>
        <w:t xml:space="preserve">(ראו: </w:t>
      </w:r>
      <w:r w:rsidR="00130DF8" w:rsidRPr="00C313EE">
        <w:rPr>
          <w:rFonts w:ascii="David" w:hAnsi="David" w:cs="David"/>
          <w:sz w:val="24"/>
          <w:szCs w:val="24"/>
          <w:rtl/>
        </w:rPr>
        <w:t>בע"מ 2095/08 פלו</w:t>
      </w:r>
      <w:r w:rsidRPr="00C313EE">
        <w:rPr>
          <w:rFonts w:ascii="David" w:hAnsi="David" w:cs="David"/>
          <w:sz w:val="24"/>
          <w:szCs w:val="24"/>
          <w:rtl/>
        </w:rPr>
        <w:t xml:space="preserve">ני נ' פלוני </w:t>
      </w:r>
      <w:r w:rsidRPr="00C313EE">
        <w:rPr>
          <w:rFonts w:ascii="David" w:hAnsi="David" w:cs="David" w:hint="cs"/>
          <w:sz w:val="24"/>
          <w:szCs w:val="24"/>
          <w:rtl/>
        </w:rPr>
        <w:t>,</w:t>
      </w:r>
      <w:r w:rsidR="00130DF8" w:rsidRPr="00C313EE">
        <w:rPr>
          <w:rFonts w:ascii="David" w:hAnsi="David" w:cs="David"/>
          <w:sz w:val="24"/>
          <w:szCs w:val="24"/>
          <w:rtl/>
        </w:rPr>
        <w:t>ע"א 7298/00 בסט דוד סמואל נ' ח</w:t>
      </w:r>
      <w:r w:rsidRPr="00C313EE">
        <w:rPr>
          <w:rFonts w:ascii="David" w:hAnsi="David" w:cs="David"/>
          <w:sz w:val="24"/>
          <w:szCs w:val="24"/>
          <w:rtl/>
        </w:rPr>
        <w:t xml:space="preserve">ממי עזרא </w:t>
      </w:r>
      <w:r w:rsidRPr="00C313EE">
        <w:rPr>
          <w:rFonts w:ascii="David" w:hAnsi="David" w:cs="David" w:hint="cs"/>
          <w:sz w:val="24"/>
          <w:szCs w:val="24"/>
          <w:rtl/>
        </w:rPr>
        <w:t>)</w:t>
      </w:r>
    </w:p>
    <w:p w:rsidR="00130DF8" w:rsidRDefault="00130DF8" w:rsidP="002931B7">
      <w:pPr>
        <w:pStyle w:val="af"/>
        <w:spacing w:line="360" w:lineRule="auto"/>
        <w:ind w:left="360"/>
        <w:jc w:val="both"/>
        <w:rPr>
          <w:rFonts w:ascii="David" w:hAnsi="David" w:cs="David"/>
          <w:sz w:val="24"/>
          <w:szCs w:val="24"/>
        </w:rPr>
      </w:pPr>
    </w:p>
    <w:p w:rsidR="00946959" w:rsidRPr="00946959" w:rsidRDefault="00AC278D" w:rsidP="002931B7">
      <w:pPr>
        <w:pStyle w:val="af"/>
        <w:numPr>
          <w:ilvl w:val="0"/>
          <w:numId w:val="2"/>
        </w:numPr>
        <w:spacing w:line="360" w:lineRule="auto"/>
        <w:jc w:val="both"/>
        <w:rPr>
          <w:rFonts w:ascii="David" w:hAnsi="David" w:cs="David"/>
          <w:sz w:val="24"/>
          <w:szCs w:val="24"/>
          <w:rtl/>
        </w:rPr>
      </w:pPr>
      <w:r w:rsidRPr="00C313EE">
        <w:rPr>
          <w:rFonts w:ascii="David" w:hAnsi="David" w:cs="David"/>
          <w:b/>
          <w:bCs/>
          <w:sz w:val="24"/>
          <w:szCs w:val="24"/>
          <w:rtl/>
        </w:rPr>
        <w:t>לסיכום</w:t>
      </w:r>
      <w:r>
        <w:rPr>
          <w:rFonts w:ascii="David" w:hAnsi="David" w:cs="David"/>
          <w:sz w:val="24"/>
          <w:szCs w:val="24"/>
          <w:rtl/>
        </w:rPr>
        <w:t xml:space="preserve">- לדידי, בחינה כוללת </w:t>
      </w:r>
      <w:r>
        <w:rPr>
          <w:rFonts w:ascii="David" w:hAnsi="David" w:cs="David" w:hint="cs"/>
          <w:sz w:val="24"/>
          <w:szCs w:val="24"/>
          <w:rtl/>
        </w:rPr>
        <w:t xml:space="preserve">של </w:t>
      </w:r>
      <w:r w:rsidR="00946959" w:rsidRPr="00946959">
        <w:rPr>
          <w:rFonts w:ascii="David" w:hAnsi="David" w:cs="David"/>
          <w:sz w:val="24"/>
          <w:szCs w:val="24"/>
          <w:rtl/>
        </w:rPr>
        <w:t>התנהלות הבוררת וטענות התובעים בעניין זה</w:t>
      </w:r>
      <w:r>
        <w:rPr>
          <w:rFonts w:ascii="David" w:hAnsi="David" w:cs="David" w:hint="cs"/>
          <w:sz w:val="24"/>
          <w:szCs w:val="24"/>
          <w:rtl/>
        </w:rPr>
        <w:t>,</w:t>
      </w:r>
      <w:r>
        <w:rPr>
          <w:rFonts w:ascii="David" w:hAnsi="David" w:cs="David"/>
          <w:sz w:val="24"/>
          <w:szCs w:val="24"/>
          <w:rtl/>
        </w:rPr>
        <w:t xml:space="preserve"> גם בהצטברותם </w:t>
      </w:r>
      <w:r>
        <w:rPr>
          <w:rFonts w:ascii="David" w:hAnsi="David" w:cs="David" w:hint="cs"/>
          <w:sz w:val="24"/>
          <w:szCs w:val="24"/>
          <w:rtl/>
        </w:rPr>
        <w:t>יחד</w:t>
      </w:r>
      <w:r w:rsidR="00946959" w:rsidRPr="00946959">
        <w:rPr>
          <w:rFonts w:ascii="David" w:hAnsi="David" w:cs="David"/>
          <w:sz w:val="24"/>
          <w:szCs w:val="24"/>
          <w:rtl/>
        </w:rPr>
        <w:t xml:space="preserve"> ,אין בהן ללמד על התנהלות מוטה של הבוררת לטובת הנתבעים </w:t>
      </w:r>
      <w:r>
        <w:rPr>
          <w:rFonts w:ascii="David" w:hAnsi="David" w:cs="David" w:hint="cs"/>
          <w:sz w:val="24"/>
          <w:szCs w:val="24"/>
          <w:rtl/>
        </w:rPr>
        <w:t>.</w:t>
      </w:r>
    </w:p>
    <w:p w:rsidR="00946959" w:rsidRDefault="00946959" w:rsidP="002931B7">
      <w:pPr>
        <w:pStyle w:val="af"/>
        <w:spacing w:line="360" w:lineRule="auto"/>
        <w:ind w:left="360"/>
        <w:jc w:val="both"/>
        <w:rPr>
          <w:rFonts w:ascii="David" w:hAnsi="David" w:cs="David"/>
          <w:sz w:val="24"/>
          <w:szCs w:val="24"/>
          <w:rtl/>
        </w:rPr>
      </w:pPr>
      <w:r w:rsidRPr="00946959">
        <w:rPr>
          <w:rFonts w:ascii="David" w:hAnsi="David" w:cs="David"/>
          <w:sz w:val="24"/>
          <w:szCs w:val="24"/>
          <w:rtl/>
        </w:rPr>
        <w:t>כל טענות התובעים נסובו על תחושותיהם הסובייקטיביות שנ</w:t>
      </w:r>
      <w:r w:rsidR="00C313EE">
        <w:rPr>
          <w:rFonts w:ascii="David" w:hAnsi="David" w:cs="David"/>
          <w:sz w:val="24"/>
          <w:szCs w:val="24"/>
          <w:rtl/>
        </w:rPr>
        <w:t>בעו מהכרעות הבוררת שאינן לרוחם</w:t>
      </w:r>
      <w:r w:rsidR="00C313EE">
        <w:rPr>
          <w:rFonts w:ascii="David" w:hAnsi="David" w:cs="David" w:hint="cs"/>
          <w:sz w:val="24"/>
          <w:szCs w:val="24"/>
          <w:rtl/>
        </w:rPr>
        <w:t>;</w:t>
      </w:r>
      <w:r w:rsidR="00895DC7">
        <w:rPr>
          <w:rFonts w:ascii="David" w:hAnsi="David" w:cs="David" w:hint="cs"/>
          <w:sz w:val="24"/>
          <w:szCs w:val="24"/>
          <w:rtl/>
        </w:rPr>
        <w:t xml:space="preserve"> </w:t>
      </w:r>
      <w:r w:rsidR="00130DF8" w:rsidRPr="00130DF8">
        <w:rPr>
          <w:rFonts w:ascii="David" w:hAnsi="David" w:cs="David"/>
          <w:sz w:val="24"/>
          <w:szCs w:val="24"/>
          <w:rtl/>
        </w:rPr>
        <w:t xml:space="preserve">לא ייתכן שבעל דין אשר החלטותיו של בורר פלוני אינן נושאות חן בעיניו, </w:t>
      </w:r>
      <w:r w:rsidR="00130DF8">
        <w:rPr>
          <w:rFonts w:ascii="David" w:hAnsi="David" w:cs="David" w:hint="cs"/>
          <w:sz w:val="24"/>
          <w:szCs w:val="24"/>
          <w:rtl/>
        </w:rPr>
        <w:t>יטען כי הבורר מוטה</w:t>
      </w:r>
      <w:r w:rsidR="00130DF8">
        <w:rPr>
          <w:rFonts w:ascii="David" w:hAnsi="David" w:cs="David"/>
          <w:sz w:val="24"/>
          <w:szCs w:val="24"/>
          <w:rtl/>
        </w:rPr>
        <w:t xml:space="preserve">. </w:t>
      </w:r>
    </w:p>
    <w:p w:rsidR="00946959" w:rsidRPr="00946959" w:rsidRDefault="00985811" w:rsidP="002931B7">
      <w:pPr>
        <w:spacing w:line="360" w:lineRule="auto"/>
        <w:jc w:val="both"/>
        <w:rPr>
          <w:rFonts w:ascii="David" w:hAnsi="David"/>
        </w:rPr>
      </w:pPr>
      <w:r>
        <w:rPr>
          <w:rFonts w:ascii="David" w:hAnsi="David" w:hint="cs"/>
          <w:u w:val="single"/>
          <w:rtl/>
        </w:rPr>
        <w:t xml:space="preserve">ביטול הליך הבוררות ו/או </w:t>
      </w:r>
      <w:r w:rsidR="00946959" w:rsidRPr="00946959">
        <w:rPr>
          <w:rFonts w:ascii="David" w:hAnsi="David"/>
          <w:u w:val="single"/>
          <w:rtl/>
        </w:rPr>
        <w:t>העברת הבוררת מתפקידה ומינוי בורר חליף</w:t>
      </w:r>
      <w:r w:rsidR="00946959" w:rsidRPr="00946959">
        <w:rPr>
          <w:rFonts w:ascii="David" w:hAnsi="David"/>
          <w:rtl/>
        </w:rPr>
        <w:t>-</w:t>
      </w:r>
    </w:p>
    <w:p w:rsidR="000E0C19" w:rsidRDefault="00985811" w:rsidP="002931B7">
      <w:pPr>
        <w:pStyle w:val="af"/>
        <w:numPr>
          <w:ilvl w:val="0"/>
          <w:numId w:val="2"/>
        </w:numPr>
        <w:spacing w:line="360" w:lineRule="auto"/>
        <w:jc w:val="both"/>
        <w:rPr>
          <w:rFonts w:ascii="David" w:hAnsi="David" w:cs="David"/>
          <w:sz w:val="24"/>
          <w:szCs w:val="24"/>
        </w:rPr>
      </w:pPr>
      <w:r w:rsidRPr="00985811">
        <w:rPr>
          <w:rFonts w:ascii="David" w:hAnsi="David" w:cs="David"/>
          <w:sz w:val="24"/>
          <w:szCs w:val="24"/>
          <w:rtl/>
        </w:rPr>
        <w:t>התובעים</w:t>
      </w:r>
      <w:r>
        <w:rPr>
          <w:rFonts w:ascii="David" w:hAnsi="David" w:cs="David" w:hint="cs"/>
          <w:sz w:val="24"/>
          <w:szCs w:val="24"/>
          <w:rtl/>
        </w:rPr>
        <w:t xml:space="preserve"> טענו </w:t>
      </w:r>
      <w:r w:rsidRPr="00985811">
        <w:rPr>
          <w:rFonts w:ascii="David" w:hAnsi="David" w:cs="David"/>
          <w:sz w:val="24"/>
          <w:szCs w:val="24"/>
          <w:rtl/>
        </w:rPr>
        <w:t xml:space="preserve">כי הם זכאים לחזור מהסכמתם למינוי הבוררות כבוררות בתיקים, </w:t>
      </w:r>
      <w:r w:rsidR="00475CCB" w:rsidRPr="00475CCB">
        <w:rPr>
          <w:rFonts w:ascii="David" w:hAnsi="David" w:cs="David"/>
          <w:sz w:val="24"/>
          <w:szCs w:val="24"/>
          <w:rtl/>
        </w:rPr>
        <w:t xml:space="preserve"> לחילופין להורות על העברת הבוררת מתפק</w:t>
      </w:r>
      <w:r w:rsidR="00475CCB">
        <w:rPr>
          <w:rFonts w:ascii="David" w:hAnsi="David" w:cs="David" w:hint="cs"/>
          <w:sz w:val="24"/>
          <w:szCs w:val="24"/>
          <w:rtl/>
        </w:rPr>
        <w:t>י</w:t>
      </w:r>
      <w:r w:rsidR="00475CCB">
        <w:rPr>
          <w:rFonts w:ascii="David" w:hAnsi="David" w:cs="David"/>
          <w:sz w:val="24"/>
          <w:szCs w:val="24"/>
          <w:rtl/>
        </w:rPr>
        <w:t>ד</w:t>
      </w:r>
      <w:r w:rsidR="00475CCB" w:rsidRPr="00475CCB">
        <w:rPr>
          <w:rFonts w:ascii="David" w:hAnsi="David" w:cs="David"/>
          <w:sz w:val="24"/>
          <w:szCs w:val="24"/>
          <w:rtl/>
        </w:rPr>
        <w:t>ה בהתאם לסעיפים 11(1) ו11(2) לחוק</w:t>
      </w:r>
      <w:r w:rsidR="00C313EE">
        <w:rPr>
          <w:rFonts w:ascii="David" w:hAnsi="David" w:cs="David" w:hint="cs"/>
          <w:sz w:val="24"/>
          <w:szCs w:val="24"/>
          <w:rtl/>
        </w:rPr>
        <w:t>,</w:t>
      </w:r>
      <w:r w:rsidR="00475CCB" w:rsidRPr="00475CCB">
        <w:rPr>
          <w:rFonts w:ascii="David" w:hAnsi="David" w:cs="David"/>
          <w:sz w:val="24"/>
          <w:szCs w:val="24"/>
          <w:rtl/>
        </w:rPr>
        <w:t xml:space="preserve"> </w:t>
      </w:r>
      <w:r w:rsidR="00AC278D">
        <w:rPr>
          <w:rFonts w:ascii="David" w:hAnsi="David" w:cs="David"/>
          <w:sz w:val="24"/>
          <w:szCs w:val="24"/>
          <w:rtl/>
        </w:rPr>
        <w:t>וכן על השבת התיקים לדיון בפני</w:t>
      </w:r>
      <w:r w:rsidR="00AC278D">
        <w:rPr>
          <w:rFonts w:ascii="David" w:hAnsi="David" w:cs="David" w:hint="cs"/>
          <w:sz w:val="24"/>
          <w:szCs w:val="24"/>
          <w:rtl/>
        </w:rPr>
        <w:t xml:space="preserve"> בית המשפט </w:t>
      </w:r>
      <w:r w:rsidR="00475CCB">
        <w:rPr>
          <w:rFonts w:ascii="David" w:hAnsi="David" w:cs="David" w:hint="cs"/>
          <w:sz w:val="24"/>
          <w:szCs w:val="24"/>
          <w:rtl/>
        </w:rPr>
        <w:t xml:space="preserve"> או מינוי בורר חליף ,</w:t>
      </w:r>
      <w:r w:rsidR="00475CCB" w:rsidRPr="00475CCB">
        <w:rPr>
          <w:rFonts w:ascii="David" w:hAnsi="David" w:cs="David"/>
          <w:sz w:val="24"/>
          <w:szCs w:val="24"/>
          <w:rtl/>
        </w:rPr>
        <w:t xml:space="preserve">בהתאם לסעיף12 לחוק. </w:t>
      </w:r>
    </w:p>
    <w:p w:rsidR="00C313EE" w:rsidRPr="00C313EE" w:rsidRDefault="00C313EE" w:rsidP="002931B7">
      <w:pPr>
        <w:pStyle w:val="af"/>
        <w:spacing w:line="360" w:lineRule="auto"/>
        <w:ind w:left="360"/>
        <w:jc w:val="both"/>
        <w:rPr>
          <w:rFonts w:ascii="David" w:hAnsi="David" w:cs="David"/>
          <w:sz w:val="24"/>
          <w:szCs w:val="24"/>
          <w:rtl/>
        </w:rPr>
      </w:pPr>
    </w:p>
    <w:p w:rsidR="00AC278D" w:rsidRDefault="00AC278D" w:rsidP="002931B7">
      <w:pPr>
        <w:pStyle w:val="af"/>
        <w:numPr>
          <w:ilvl w:val="0"/>
          <w:numId w:val="2"/>
        </w:numPr>
        <w:spacing w:line="360" w:lineRule="auto"/>
        <w:jc w:val="both"/>
        <w:rPr>
          <w:rFonts w:ascii="David" w:hAnsi="David" w:cs="David"/>
          <w:sz w:val="24"/>
          <w:szCs w:val="24"/>
        </w:rPr>
      </w:pPr>
      <w:r w:rsidRPr="00AC278D">
        <w:rPr>
          <w:rFonts w:ascii="David" w:hAnsi="David" w:cs="David"/>
          <w:sz w:val="24"/>
          <w:szCs w:val="24"/>
          <w:rtl/>
        </w:rPr>
        <w:t xml:space="preserve">התובעים לא הוכיחו כל עילה למתן סעד לביטול הליך הבוררות. כאמור הצדדים הגיעו להסכמות שקבלו תוקף של פסק דין מ12/11/18, בדבר העברת התיקים להכרעת הבוררת . התובעים לא הוכיחו כל עילה לביטול פסק </w:t>
      </w:r>
      <w:r w:rsidR="00C313EE">
        <w:rPr>
          <w:rFonts w:ascii="David" w:hAnsi="David" w:cs="David" w:hint="cs"/>
          <w:sz w:val="24"/>
          <w:szCs w:val="24"/>
          <w:rtl/>
        </w:rPr>
        <w:t>ה</w:t>
      </w:r>
      <w:r w:rsidRPr="00AC278D">
        <w:rPr>
          <w:rFonts w:ascii="David" w:hAnsi="David" w:cs="David"/>
          <w:sz w:val="24"/>
          <w:szCs w:val="24"/>
          <w:rtl/>
        </w:rPr>
        <w:t xml:space="preserve">דין מכוחו התקיים הליך הבוררת . כך למשל לא הוכיחו כי הסכמתם הושגה תחת טעות, הטעיה או מרמה או כל עילה אחרת מוכרת לביטול במקרה כזה. אני דוחה כל </w:t>
      </w:r>
      <w:r w:rsidR="00893D05">
        <w:rPr>
          <w:rFonts w:ascii="David" w:hAnsi="David" w:cs="David" w:hint="cs"/>
          <w:sz w:val="24"/>
          <w:szCs w:val="24"/>
          <w:rtl/>
        </w:rPr>
        <w:t>ה</w:t>
      </w:r>
      <w:r w:rsidRPr="00AC278D">
        <w:rPr>
          <w:rFonts w:ascii="David" w:hAnsi="David" w:cs="David"/>
          <w:sz w:val="24"/>
          <w:szCs w:val="24"/>
          <w:rtl/>
        </w:rPr>
        <w:t xml:space="preserve">סעדים לביטול פסק </w:t>
      </w:r>
      <w:r w:rsidR="00C313EE">
        <w:rPr>
          <w:rFonts w:ascii="David" w:hAnsi="David" w:cs="David" w:hint="cs"/>
          <w:sz w:val="24"/>
          <w:szCs w:val="24"/>
          <w:rtl/>
        </w:rPr>
        <w:t>ה</w:t>
      </w:r>
      <w:r w:rsidRPr="00AC278D">
        <w:rPr>
          <w:rFonts w:ascii="David" w:hAnsi="David" w:cs="David"/>
          <w:sz w:val="24"/>
          <w:szCs w:val="24"/>
          <w:rtl/>
        </w:rPr>
        <w:t>דין המפנה את הצדדים להליך בוררות.</w:t>
      </w:r>
    </w:p>
    <w:p w:rsidR="00C313EE" w:rsidRPr="00AC278D" w:rsidRDefault="00C313EE" w:rsidP="002931B7">
      <w:pPr>
        <w:pStyle w:val="af"/>
        <w:spacing w:line="360" w:lineRule="auto"/>
        <w:ind w:left="360"/>
        <w:jc w:val="both"/>
        <w:rPr>
          <w:rFonts w:ascii="David" w:hAnsi="David" w:cs="David"/>
          <w:sz w:val="24"/>
          <w:szCs w:val="24"/>
          <w:rtl/>
        </w:rPr>
      </w:pPr>
    </w:p>
    <w:p w:rsidR="00AC278D" w:rsidRDefault="00AC278D" w:rsidP="002931B7">
      <w:pPr>
        <w:pStyle w:val="af"/>
        <w:numPr>
          <w:ilvl w:val="0"/>
          <w:numId w:val="2"/>
        </w:numPr>
        <w:spacing w:line="360" w:lineRule="auto"/>
        <w:jc w:val="both"/>
        <w:rPr>
          <w:rFonts w:ascii="David" w:hAnsi="David" w:cs="David"/>
          <w:sz w:val="24"/>
          <w:szCs w:val="24"/>
        </w:rPr>
      </w:pPr>
      <w:r w:rsidRPr="00AC278D">
        <w:rPr>
          <w:rFonts w:ascii="David" w:hAnsi="David" w:cs="David"/>
          <w:sz w:val="24"/>
          <w:szCs w:val="24"/>
          <w:rtl/>
        </w:rPr>
        <w:t xml:space="preserve">עם זאת ,אני מקבלת טענת התובעים להעביר את </w:t>
      </w:r>
      <w:r w:rsidRPr="00912DF3">
        <w:rPr>
          <w:rFonts w:ascii="David" w:hAnsi="David" w:cs="David"/>
          <w:sz w:val="24"/>
          <w:szCs w:val="24"/>
          <w:u w:val="single"/>
          <w:rtl/>
        </w:rPr>
        <w:t>יתר התביעות   להכרעת בורר אחר.אפרט</w:t>
      </w:r>
      <w:r w:rsidRPr="00AC278D">
        <w:rPr>
          <w:rFonts w:ascii="David" w:hAnsi="David" w:cs="David"/>
          <w:sz w:val="24"/>
          <w:szCs w:val="24"/>
          <w:rtl/>
        </w:rPr>
        <w:t>.</w:t>
      </w:r>
    </w:p>
    <w:p w:rsidR="00AC278D" w:rsidRDefault="00AC278D" w:rsidP="002931B7">
      <w:pPr>
        <w:pStyle w:val="af"/>
        <w:spacing w:line="360" w:lineRule="auto"/>
        <w:ind w:left="360"/>
        <w:jc w:val="both"/>
        <w:rPr>
          <w:rFonts w:ascii="David" w:hAnsi="David" w:cs="David"/>
          <w:sz w:val="24"/>
          <w:szCs w:val="24"/>
        </w:rPr>
      </w:pPr>
    </w:p>
    <w:p w:rsidR="000E0C19" w:rsidRPr="000E0C19" w:rsidRDefault="000E0C19" w:rsidP="002931B7">
      <w:pPr>
        <w:pStyle w:val="af"/>
        <w:numPr>
          <w:ilvl w:val="0"/>
          <w:numId w:val="2"/>
        </w:numPr>
        <w:spacing w:line="360" w:lineRule="auto"/>
        <w:jc w:val="both"/>
        <w:rPr>
          <w:rFonts w:ascii="David" w:hAnsi="David" w:cs="David"/>
          <w:sz w:val="24"/>
          <w:szCs w:val="24"/>
          <w:rtl/>
        </w:rPr>
      </w:pPr>
      <w:r w:rsidRPr="000E0C19">
        <w:rPr>
          <w:rFonts w:ascii="David" w:hAnsi="David" w:cs="David"/>
          <w:sz w:val="24"/>
          <w:szCs w:val="24"/>
          <w:rtl/>
        </w:rPr>
        <w:t xml:space="preserve"> סעיף 11 לחוק הבוררות קובע:</w:t>
      </w:r>
    </w:p>
    <w:p w:rsidR="000E0C19" w:rsidRPr="00AC278D" w:rsidRDefault="000E0C19" w:rsidP="002931B7">
      <w:pPr>
        <w:pStyle w:val="af"/>
        <w:spacing w:line="360" w:lineRule="auto"/>
        <w:ind w:left="360"/>
        <w:jc w:val="both"/>
        <w:rPr>
          <w:rFonts w:ascii="David" w:hAnsi="David" w:cs="David"/>
          <w:b/>
          <w:bCs/>
          <w:sz w:val="24"/>
          <w:szCs w:val="24"/>
          <w:rtl/>
        </w:rPr>
      </w:pPr>
      <w:r w:rsidRPr="00AC278D">
        <w:rPr>
          <w:rFonts w:ascii="David" w:hAnsi="David" w:cs="David" w:hint="cs"/>
          <w:b/>
          <w:bCs/>
          <w:sz w:val="24"/>
          <w:szCs w:val="24"/>
          <w:rtl/>
        </w:rPr>
        <w:t>11</w:t>
      </w:r>
      <w:r w:rsidRPr="00AC278D">
        <w:rPr>
          <w:rFonts w:ascii="David" w:hAnsi="David" w:cs="David"/>
          <w:b/>
          <w:bCs/>
          <w:sz w:val="24"/>
          <w:szCs w:val="24"/>
          <w:rtl/>
        </w:rPr>
        <w:t>.בית המשפט רשאי להעביר בורר מתפקידו באחד המקרים האלה:</w:t>
      </w:r>
    </w:p>
    <w:p w:rsidR="000E0C19" w:rsidRPr="00AC278D" w:rsidRDefault="000E0C19" w:rsidP="002931B7">
      <w:pPr>
        <w:spacing w:line="360" w:lineRule="auto"/>
        <w:ind w:firstLine="360"/>
        <w:jc w:val="both"/>
        <w:rPr>
          <w:rFonts w:ascii="David" w:hAnsi="David"/>
          <w:b/>
          <w:bCs/>
          <w:rtl/>
        </w:rPr>
      </w:pPr>
      <w:r w:rsidRPr="00AC278D">
        <w:rPr>
          <w:rFonts w:ascii="David" w:hAnsi="David" w:hint="cs"/>
          <w:b/>
          <w:bCs/>
          <w:rtl/>
        </w:rPr>
        <w:t>(</w:t>
      </w:r>
      <w:r w:rsidRPr="00AC278D">
        <w:rPr>
          <w:rFonts w:ascii="David" w:hAnsi="David"/>
          <w:b/>
          <w:bCs/>
          <w:rtl/>
        </w:rPr>
        <w:t>1</w:t>
      </w:r>
      <w:r w:rsidRPr="00AC278D">
        <w:rPr>
          <w:rFonts w:ascii="David" w:hAnsi="David" w:hint="cs"/>
          <w:b/>
          <w:bCs/>
          <w:rtl/>
        </w:rPr>
        <w:t>)</w:t>
      </w:r>
      <w:r w:rsidRPr="00AC278D">
        <w:rPr>
          <w:rFonts w:ascii="David" w:hAnsi="David"/>
          <w:b/>
          <w:bCs/>
          <w:rtl/>
        </w:rPr>
        <w:t>נתגלה שהבורר אינו ראוי לאמון הצדדים;</w:t>
      </w:r>
    </w:p>
    <w:p w:rsidR="000E0C19" w:rsidRPr="00AC278D" w:rsidRDefault="000E0C19" w:rsidP="002931B7">
      <w:pPr>
        <w:pStyle w:val="af"/>
        <w:spacing w:line="360" w:lineRule="auto"/>
        <w:ind w:left="360"/>
        <w:jc w:val="both"/>
        <w:rPr>
          <w:rFonts w:ascii="David" w:hAnsi="David" w:cs="David"/>
          <w:b/>
          <w:bCs/>
          <w:sz w:val="24"/>
          <w:szCs w:val="24"/>
          <w:rtl/>
        </w:rPr>
      </w:pPr>
      <w:r w:rsidRPr="00AC278D">
        <w:rPr>
          <w:rFonts w:ascii="David" w:hAnsi="David" w:cs="David"/>
          <w:b/>
          <w:bCs/>
          <w:sz w:val="24"/>
          <w:szCs w:val="24"/>
          <w:rtl/>
        </w:rPr>
        <w:t>(2)התנהגותו של הבורר במהלך הבוררות גורמת לעינוי דין;</w:t>
      </w:r>
    </w:p>
    <w:p w:rsidR="00AC278D" w:rsidRDefault="000E0C19" w:rsidP="002931B7">
      <w:pPr>
        <w:pStyle w:val="af"/>
        <w:spacing w:line="360" w:lineRule="auto"/>
        <w:ind w:left="360"/>
        <w:jc w:val="both"/>
        <w:rPr>
          <w:rFonts w:ascii="David" w:hAnsi="David" w:cs="David"/>
          <w:b/>
          <w:bCs/>
          <w:sz w:val="24"/>
          <w:szCs w:val="24"/>
          <w:rtl/>
        </w:rPr>
      </w:pPr>
      <w:r w:rsidRPr="00AC278D">
        <w:rPr>
          <w:rFonts w:ascii="David" w:hAnsi="David" w:cs="David"/>
          <w:b/>
          <w:bCs/>
          <w:sz w:val="24"/>
          <w:szCs w:val="24"/>
          <w:rtl/>
        </w:rPr>
        <w:t>(3)נבצר מהבורר למלא את תפקידו</w:t>
      </w:r>
    </w:p>
    <w:p w:rsidR="006752B0" w:rsidRPr="006752B0" w:rsidRDefault="006752B0" w:rsidP="002931B7">
      <w:pPr>
        <w:pStyle w:val="af"/>
        <w:spacing w:line="360" w:lineRule="auto"/>
        <w:ind w:left="360"/>
        <w:jc w:val="both"/>
        <w:rPr>
          <w:rFonts w:ascii="David" w:hAnsi="David" w:cs="David"/>
          <w:b/>
          <w:bCs/>
          <w:sz w:val="24"/>
          <w:szCs w:val="24"/>
          <w:rtl/>
        </w:rPr>
      </w:pPr>
    </w:p>
    <w:p w:rsidR="00AC278D" w:rsidRPr="00AC278D" w:rsidRDefault="00AC278D" w:rsidP="002931B7">
      <w:pPr>
        <w:pStyle w:val="af"/>
        <w:numPr>
          <w:ilvl w:val="0"/>
          <w:numId w:val="2"/>
        </w:numPr>
        <w:spacing w:line="360" w:lineRule="auto"/>
        <w:jc w:val="both"/>
        <w:rPr>
          <w:rFonts w:ascii="David" w:hAnsi="David" w:cs="David"/>
          <w:sz w:val="24"/>
          <w:szCs w:val="24"/>
          <w:rtl/>
        </w:rPr>
      </w:pPr>
      <w:r w:rsidRPr="00AC278D">
        <w:rPr>
          <w:rFonts w:ascii="David" w:hAnsi="David" w:cs="David"/>
          <w:sz w:val="24"/>
          <w:szCs w:val="24"/>
          <w:rtl/>
        </w:rPr>
        <w:t>לענ</w:t>
      </w:r>
      <w:r>
        <w:rPr>
          <w:rFonts w:ascii="David" w:hAnsi="David" w:cs="David" w:hint="cs"/>
          <w:sz w:val="24"/>
          <w:szCs w:val="24"/>
          <w:rtl/>
        </w:rPr>
        <w:t>י</w:t>
      </w:r>
      <w:r w:rsidRPr="00AC278D">
        <w:rPr>
          <w:rFonts w:ascii="David" w:hAnsi="David" w:cs="David"/>
          <w:sz w:val="24"/>
          <w:szCs w:val="24"/>
          <w:rtl/>
        </w:rPr>
        <w:t>ין מינוי בורר חליף, סעיף 12 לחוק קובע</w:t>
      </w:r>
      <w:r>
        <w:rPr>
          <w:rFonts w:ascii="David" w:hAnsi="David" w:cs="David" w:hint="cs"/>
          <w:sz w:val="24"/>
          <w:szCs w:val="24"/>
          <w:rtl/>
        </w:rPr>
        <w:t>:</w:t>
      </w:r>
    </w:p>
    <w:p w:rsidR="00AC278D" w:rsidRPr="00AC278D" w:rsidRDefault="00AC278D" w:rsidP="002931B7">
      <w:pPr>
        <w:pStyle w:val="af"/>
        <w:spacing w:line="360" w:lineRule="auto"/>
        <w:ind w:left="360"/>
        <w:jc w:val="both"/>
        <w:rPr>
          <w:rFonts w:ascii="David" w:hAnsi="David" w:cs="David"/>
          <w:b/>
          <w:bCs/>
          <w:sz w:val="24"/>
          <w:szCs w:val="24"/>
          <w:rtl/>
        </w:rPr>
      </w:pPr>
      <w:r>
        <w:rPr>
          <w:rFonts w:ascii="David" w:hAnsi="David" w:cs="David"/>
          <w:sz w:val="24"/>
          <w:szCs w:val="24"/>
          <w:rtl/>
        </w:rPr>
        <w:t>(</w:t>
      </w:r>
      <w:r w:rsidRPr="00AC278D">
        <w:rPr>
          <w:rFonts w:ascii="David" w:hAnsi="David" w:cs="David"/>
          <w:b/>
          <w:bCs/>
          <w:sz w:val="24"/>
          <w:szCs w:val="24"/>
          <w:rtl/>
        </w:rPr>
        <w:t>א נתפנתה כהונתו של בורר, אם עקב התפטרותו או פטירתו ואם עקב העברתו מתפקידו, יחולו הוראות הסעיפים 8 עד 10 על מינויו של בורר חליף, והוא כשאין כוונה אחרת משתמעת מהסכם הבוררות.</w:t>
      </w:r>
    </w:p>
    <w:p w:rsidR="00475CCB" w:rsidRDefault="00AC278D" w:rsidP="002931B7">
      <w:pPr>
        <w:pStyle w:val="af"/>
        <w:spacing w:line="360" w:lineRule="auto"/>
        <w:ind w:left="360"/>
        <w:jc w:val="both"/>
        <w:rPr>
          <w:rFonts w:ascii="David" w:hAnsi="David" w:cs="David"/>
          <w:b/>
          <w:bCs/>
          <w:sz w:val="24"/>
          <w:szCs w:val="24"/>
          <w:rtl/>
        </w:rPr>
      </w:pPr>
      <w:r w:rsidRPr="00AC278D">
        <w:rPr>
          <w:rFonts w:ascii="David" w:hAnsi="David" w:cs="David"/>
          <w:b/>
          <w:bCs/>
          <w:sz w:val="24"/>
          <w:szCs w:val="24"/>
          <w:rtl/>
        </w:rPr>
        <w:t>ב) הועבר בורר מתפקידו, רשאי בית המשפט, במקום למנות בורר חליף, להחליט שהסכסוך שהוא נושא הבוררות לא יידון בבוררות, אם ראה טעם מיוחד לכך.</w:t>
      </w:r>
    </w:p>
    <w:p w:rsidR="006752B0" w:rsidRPr="006752B0" w:rsidRDefault="006752B0" w:rsidP="002931B7">
      <w:pPr>
        <w:pStyle w:val="af"/>
        <w:spacing w:line="360" w:lineRule="auto"/>
        <w:ind w:left="360"/>
        <w:jc w:val="both"/>
        <w:rPr>
          <w:rFonts w:ascii="David" w:hAnsi="David" w:cs="David"/>
          <w:b/>
          <w:bCs/>
          <w:sz w:val="24"/>
          <w:szCs w:val="24"/>
        </w:rPr>
      </w:pPr>
    </w:p>
    <w:p w:rsidR="00912DF3" w:rsidRPr="00912DF3" w:rsidRDefault="00912DF3" w:rsidP="002931B7">
      <w:pPr>
        <w:pStyle w:val="af"/>
        <w:numPr>
          <w:ilvl w:val="0"/>
          <w:numId w:val="2"/>
        </w:numPr>
        <w:spacing w:line="360" w:lineRule="auto"/>
        <w:jc w:val="both"/>
        <w:rPr>
          <w:rFonts w:ascii="David" w:hAnsi="David" w:cs="David"/>
          <w:sz w:val="24"/>
          <w:szCs w:val="24"/>
          <w:rtl/>
        </w:rPr>
      </w:pPr>
      <w:r w:rsidRPr="00912DF3">
        <w:rPr>
          <w:rFonts w:ascii="David" w:hAnsi="David" w:cs="David"/>
          <w:sz w:val="24"/>
          <w:szCs w:val="24"/>
          <w:rtl/>
        </w:rPr>
        <w:lastRenderedPageBreak/>
        <w:t>בהתאם להלכה הפסוקה, הבחינה אם הבורר אינו ראוי עוד לאמון הצדדים תיעשה על פי אמות מידה אובייקטיביות של מעשיו ולא על בסיס תחושתו הסובייקטיבית של הצד המבקש את העברתו מתפקידו וכי בית המשפט יעשה שימוש בסמכותו במקרים חריגים בלבד .</w:t>
      </w:r>
    </w:p>
    <w:p w:rsidR="00912DF3" w:rsidRPr="00912DF3" w:rsidRDefault="00912DF3" w:rsidP="002931B7">
      <w:pPr>
        <w:pStyle w:val="af"/>
        <w:spacing w:line="360" w:lineRule="auto"/>
        <w:ind w:left="360"/>
        <w:jc w:val="both"/>
        <w:rPr>
          <w:rFonts w:ascii="David" w:hAnsi="David" w:cs="David"/>
          <w:sz w:val="24"/>
          <w:szCs w:val="24"/>
          <w:rtl/>
        </w:rPr>
      </w:pPr>
      <w:r w:rsidRPr="00912DF3">
        <w:rPr>
          <w:rFonts w:ascii="David" w:hAnsi="David" w:cs="David"/>
          <w:sz w:val="24"/>
          <w:szCs w:val="24"/>
          <w:rtl/>
        </w:rPr>
        <w:t xml:space="preserve">(ראו, רע"א 21/82 אירג' כהן ציון נ' רפאל אראל,  ע"א 5421/13 הרב אליעזר כהנמן נ' הרב שמואל מרקוביץ, ע"א 773/19 מ.י.ד.ר פסגות  בע"מ נ' עמותת חצרות קדם,  רע"א 991/21 יאיר פורת נ' עו"ד זיו שלמה סימון). </w:t>
      </w:r>
    </w:p>
    <w:p w:rsidR="00912DF3" w:rsidRPr="00912DF3" w:rsidRDefault="00912DF3" w:rsidP="002931B7">
      <w:pPr>
        <w:pStyle w:val="af"/>
        <w:spacing w:line="360" w:lineRule="auto"/>
        <w:ind w:left="360"/>
        <w:jc w:val="both"/>
        <w:rPr>
          <w:rFonts w:ascii="David" w:hAnsi="David" w:cs="David"/>
          <w:sz w:val="24"/>
          <w:szCs w:val="24"/>
          <w:rtl/>
        </w:rPr>
      </w:pPr>
      <w:r w:rsidRPr="00912DF3">
        <w:rPr>
          <w:rFonts w:ascii="David" w:hAnsi="David" w:cs="David"/>
          <w:sz w:val="24"/>
          <w:szCs w:val="24"/>
          <w:rtl/>
        </w:rPr>
        <w:t>עוד נקבע בפסיקה :</w:t>
      </w:r>
    </w:p>
    <w:p w:rsidR="00912DF3" w:rsidRPr="00912DF3" w:rsidRDefault="00912DF3" w:rsidP="002931B7">
      <w:pPr>
        <w:pStyle w:val="af"/>
        <w:spacing w:line="360" w:lineRule="auto"/>
        <w:ind w:left="360"/>
        <w:jc w:val="both"/>
        <w:rPr>
          <w:rFonts w:ascii="David" w:hAnsi="David" w:cs="David"/>
          <w:sz w:val="24"/>
          <w:szCs w:val="24"/>
          <w:rtl/>
        </w:rPr>
      </w:pPr>
      <w:r w:rsidRPr="00912DF3">
        <w:rPr>
          <w:rFonts w:ascii="David" w:hAnsi="David" w:cs="David"/>
          <w:sz w:val="24"/>
          <w:szCs w:val="24"/>
          <w:rtl/>
        </w:rPr>
        <w:t xml:space="preserve">בע"א 107/84 איליט בע"מ נ' אלקו חרושת אלקטרו מכנית בע"מ, נקבע כי  </w:t>
      </w:r>
      <w:r w:rsidRPr="00912DF3">
        <w:rPr>
          <w:rFonts w:ascii="David" w:hAnsi="David" w:cs="David"/>
          <w:b/>
          <w:bCs/>
          <w:sz w:val="24"/>
          <w:szCs w:val="24"/>
          <w:rtl/>
        </w:rPr>
        <w:t>"...בעניין זה על סעיף 11(1) לחוק הבוררות, ... אמון הצדדים לצורך הוראה זו - גם אמונו של אחד מהצדדים במשמע".</w:t>
      </w:r>
    </w:p>
    <w:p w:rsidR="00912DF3" w:rsidRPr="00912DF3" w:rsidRDefault="00912DF3" w:rsidP="002931B7">
      <w:pPr>
        <w:pStyle w:val="af"/>
        <w:spacing w:line="360" w:lineRule="auto"/>
        <w:ind w:left="360"/>
        <w:jc w:val="both"/>
        <w:rPr>
          <w:rFonts w:ascii="David" w:hAnsi="David" w:cs="David"/>
          <w:sz w:val="24"/>
          <w:szCs w:val="24"/>
          <w:rtl/>
        </w:rPr>
      </w:pPr>
      <w:r w:rsidRPr="00912DF3">
        <w:rPr>
          <w:rFonts w:ascii="David" w:hAnsi="David" w:cs="David"/>
          <w:sz w:val="24"/>
          <w:szCs w:val="24"/>
          <w:rtl/>
        </w:rPr>
        <w:t>וכן בהפ"ב (מחוזי ת"א) 72122-01-18 אליעזר כהנמן נ' שמואל מרקוביץ נקבע‏‏ :</w:t>
      </w:r>
    </w:p>
    <w:p w:rsidR="00912DF3" w:rsidRPr="00912DF3" w:rsidRDefault="00912DF3" w:rsidP="002931B7">
      <w:pPr>
        <w:pStyle w:val="af"/>
        <w:spacing w:line="360" w:lineRule="auto"/>
        <w:ind w:left="360"/>
        <w:jc w:val="both"/>
        <w:rPr>
          <w:rFonts w:ascii="David" w:hAnsi="David" w:cs="David"/>
          <w:b/>
          <w:bCs/>
          <w:sz w:val="24"/>
          <w:szCs w:val="24"/>
          <w:rtl/>
        </w:rPr>
      </w:pPr>
      <w:r w:rsidRPr="00912DF3">
        <w:rPr>
          <w:rFonts w:ascii="David" w:hAnsi="David" w:cs="David"/>
          <w:sz w:val="24"/>
          <w:szCs w:val="24"/>
          <w:rtl/>
        </w:rPr>
        <w:t>"</w:t>
      </w:r>
      <w:r w:rsidRPr="00912DF3">
        <w:rPr>
          <w:rFonts w:ascii="David" w:hAnsi="David" w:cs="David"/>
          <w:b/>
          <w:bCs/>
          <w:sz w:val="24"/>
          <w:szCs w:val="24"/>
          <w:rtl/>
        </w:rPr>
        <w:t>הוראת סעיף 11(1) לחוק קובעת לכך. ... העברת בורר מתפקידו מחמת היעדר אמון, אינה מחייבת אבדן האמון מטעם שני הצדדים גם יחד. די בכך שאחד מן הצדדים הראה – בהתאם לאמות המידה הנזכרות – כי קיימות נסיבות אובייקטיביות המלמדות על חשש ממשי למשוא פנים ".</w:t>
      </w:r>
    </w:p>
    <w:p w:rsidR="00912DF3" w:rsidRPr="0013508B" w:rsidRDefault="00912DF3" w:rsidP="0013508B">
      <w:pPr>
        <w:pStyle w:val="af"/>
        <w:spacing w:line="360" w:lineRule="auto"/>
        <w:ind w:left="360"/>
        <w:jc w:val="both"/>
        <w:rPr>
          <w:rFonts w:ascii="David" w:hAnsi="David" w:cs="David"/>
          <w:sz w:val="24"/>
          <w:szCs w:val="24"/>
        </w:rPr>
      </w:pPr>
      <w:r w:rsidRPr="00912DF3">
        <w:rPr>
          <w:rFonts w:ascii="David" w:hAnsi="David" w:cs="David"/>
          <w:sz w:val="24"/>
          <w:szCs w:val="24"/>
          <w:rtl/>
        </w:rPr>
        <w:t>עוד נקבע בפסיקה כי מבחן הפסלות של בורר צריך שיהיה על פי אמות המידה שנקבעו בעניינם של שופטים.( רע"א 296/08 ארט-בי חברה (בפירוק) נ' עזבון המנוח ג'ק ליברמן ז"ל , רע"א 8164/18 אדלקום בע"מ נ' חברת שירותי תשתיות אילת אשקלון בע"מ).</w:t>
      </w:r>
    </w:p>
    <w:p w:rsidR="003A3158" w:rsidRDefault="003A3158" w:rsidP="002931B7">
      <w:pPr>
        <w:spacing w:line="360" w:lineRule="auto"/>
        <w:jc w:val="both"/>
        <w:rPr>
          <w:rFonts w:ascii="David" w:hAnsi="David"/>
          <w:rtl/>
        </w:rPr>
      </w:pPr>
      <w:r>
        <w:rPr>
          <w:rFonts w:ascii="David" w:hAnsi="David" w:hint="cs"/>
          <w:rtl/>
        </w:rPr>
        <w:t>100.</w:t>
      </w:r>
      <w:r w:rsidR="00946959" w:rsidRPr="003A3158">
        <w:rPr>
          <w:rFonts w:ascii="David" w:hAnsi="David"/>
          <w:rtl/>
        </w:rPr>
        <w:t xml:space="preserve">כאמור לעיל, </w:t>
      </w:r>
      <w:r w:rsidR="00475CCB" w:rsidRPr="003A3158">
        <w:rPr>
          <w:rFonts w:ascii="David" w:hAnsi="David" w:hint="cs"/>
          <w:rtl/>
        </w:rPr>
        <w:t xml:space="preserve"> הבוררת נתנה פסק בורר בתביעות לפירוק שיתוף ודמי שימוש,</w:t>
      </w:r>
      <w:r w:rsidR="000375DD" w:rsidRPr="003A3158">
        <w:rPr>
          <w:rFonts w:ascii="David" w:hAnsi="David" w:hint="cs"/>
          <w:rtl/>
        </w:rPr>
        <w:t xml:space="preserve"> </w:t>
      </w:r>
      <w:r w:rsidR="00475CCB" w:rsidRPr="003A3158">
        <w:rPr>
          <w:rFonts w:ascii="David" w:hAnsi="David" w:hint="cs"/>
          <w:rtl/>
        </w:rPr>
        <w:t xml:space="preserve">אך </w:t>
      </w:r>
      <w:r w:rsidR="00475CCB" w:rsidRPr="003A3158">
        <w:rPr>
          <w:rFonts w:ascii="David" w:hAnsi="David"/>
          <w:rtl/>
        </w:rPr>
        <w:t xml:space="preserve"> טרם התחילה </w:t>
      </w:r>
    </w:p>
    <w:p w:rsidR="007365E3" w:rsidRPr="003A3158" w:rsidRDefault="00475CCB" w:rsidP="002931B7">
      <w:pPr>
        <w:spacing w:line="360" w:lineRule="auto"/>
        <w:ind w:firstLine="360"/>
        <w:jc w:val="both"/>
        <w:rPr>
          <w:rFonts w:ascii="David" w:hAnsi="David" w:cstheme="minorBidi"/>
          <w:sz w:val="22"/>
          <w:szCs w:val="22"/>
        </w:rPr>
      </w:pPr>
      <w:r w:rsidRPr="003A3158">
        <w:rPr>
          <w:rFonts w:ascii="David" w:hAnsi="David"/>
          <w:rtl/>
        </w:rPr>
        <w:t>לדון  ביתר התביעות</w:t>
      </w:r>
      <w:r w:rsidR="00895DC7">
        <w:rPr>
          <w:rFonts w:ascii="David" w:hAnsi="David" w:hint="cs"/>
          <w:rtl/>
        </w:rPr>
        <w:t>, כפי שקבעתי לעיל.</w:t>
      </w:r>
    </w:p>
    <w:p w:rsidR="00946959" w:rsidRDefault="007365E3" w:rsidP="002931B7">
      <w:pPr>
        <w:pStyle w:val="af"/>
        <w:spacing w:line="360" w:lineRule="auto"/>
        <w:ind w:left="360"/>
        <w:jc w:val="both"/>
        <w:rPr>
          <w:rFonts w:ascii="David" w:hAnsi="David" w:cs="David"/>
          <w:sz w:val="24"/>
          <w:szCs w:val="24"/>
        </w:rPr>
      </w:pPr>
      <w:r w:rsidRPr="007365E3">
        <w:rPr>
          <w:rtl/>
        </w:rPr>
        <w:t xml:space="preserve"> </w:t>
      </w:r>
      <w:r w:rsidR="003A3158">
        <w:rPr>
          <w:rFonts w:ascii="David" w:hAnsi="David" w:cs="David"/>
          <w:sz w:val="24"/>
          <w:szCs w:val="24"/>
          <w:rtl/>
        </w:rPr>
        <w:t xml:space="preserve">עם זאת, וכפי שניווכח להלן, </w:t>
      </w:r>
      <w:r w:rsidRPr="007365E3">
        <w:rPr>
          <w:rFonts w:ascii="David" w:hAnsi="David" w:cs="David"/>
          <w:sz w:val="24"/>
          <w:szCs w:val="24"/>
          <w:rtl/>
        </w:rPr>
        <w:t>היא גילתה בפסק הבוררות  את דעתה לעניין ה</w:t>
      </w:r>
      <w:r w:rsidR="003A3158">
        <w:rPr>
          <w:rFonts w:ascii="David" w:hAnsi="David" w:cs="David"/>
          <w:sz w:val="24"/>
          <w:szCs w:val="24"/>
          <w:rtl/>
        </w:rPr>
        <w:t xml:space="preserve">תביעה לביטול רישום, באופן נחרץ </w:t>
      </w:r>
      <w:r w:rsidR="003A3158">
        <w:rPr>
          <w:rFonts w:ascii="David" w:hAnsi="David" w:cs="David" w:hint="cs"/>
          <w:sz w:val="24"/>
          <w:szCs w:val="24"/>
          <w:rtl/>
        </w:rPr>
        <w:t>,</w:t>
      </w:r>
      <w:r w:rsidRPr="007365E3">
        <w:rPr>
          <w:rFonts w:ascii="David" w:hAnsi="David" w:cs="David"/>
          <w:sz w:val="24"/>
          <w:szCs w:val="24"/>
          <w:rtl/>
        </w:rPr>
        <w:t xml:space="preserve">  הפוגע באימון התובעים שהיא תמשיך ותדון בתביעה זו</w:t>
      </w:r>
      <w:r w:rsidR="003A3158">
        <w:rPr>
          <w:rFonts w:ascii="David" w:hAnsi="David" w:cs="David" w:hint="cs"/>
          <w:sz w:val="24"/>
          <w:szCs w:val="24"/>
          <w:rtl/>
        </w:rPr>
        <w:t>.</w:t>
      </w:r>
    </w:p>
    <w:p w:rsidR="00705F5B" w:rsidRPr="007365E3" w:rsidRDefault="00705F5B" w:rsidP="002931B7">
      <w:pPr>
        <w:pStyle w:val="af"/>
        <w:spacing w:line="360" w:lineRule="auto"/>
        <w:ind w:left="360"/>
        <w:jc w:val="both"/>
        <w:rPr>
          <w:rFonts w:ascii="David" w:hAnsi="David" w:cs="David"/>
          <w:sz w:val="24"/>
          <w:szCs w:val="24"/>
        </w:rPr>
      </w:pPr>
      <w:r w:rsidRPr="007365E3">
        <w:rPr>
          <w:rFonts w:ascii="David" w:hAnsi="David" w:cs="David"/>
          <w:sz w:val="24"/>
          <w:szCs w:val="24"/>
          <w:rtl/>
        </w:rPr>
        <w:t>מעיון בפסק בורר עולה כי,</w:t>
      </w:r>
      <w:r w:rsidRPr="007365E3">
        <w:rPr>
          <w:rFonts w:ascii="David" w:hAnsi="David" w:cs="David" w:hint="cs"/>
          <w:sz w:val="24"/>
          <w:szCs w:val="24"/>
          <w:rtl/>
        </w:rPr>
        <w:t xml:space="preserve"> </w:t>
      </w:r>
      <w:r w:rsidRPr="007365E3">
        <w:rPr>
          <w:rFonts w:ascii="David" w:hAnsi="David" w:cs="David"/>
          <w:sz w:val="24"/>
          <w:szCs w:val="24"/>
          <w:rtl/>
        </w:rPr>
        <w:t>במסגרת "פירוק השיתוף בנכס", ציינה הבוררת (סעיף12) : "</w:t>
      </w:r>
      <w:r w:rsidRPr="007365E3">
        <w:rPr>
          <w:rFonts w:ascii="David" w:hAnsi="David" w:cs="David"/>
          <w:b/>
          <w:bCs/>
          <w:sz w:val="24"/>
          <w:szCs w:val="24"/>
          <w:rtl/>
        </w:rPr>
        <w:t xml:space="preserve">אשר למחלוקת </w:t>
      </w:r>
      <w:r w:rsidR="00893D05">
        <w:rPr>
          <w:rFonts w:ascii="David" w:hAnsi="David" w:cs="David"/>
          <w:b/>
          <w:bCs/>
          <w:sz w:val="24"/>
          <w:szCs w:val="24"/>
          <w:rtl/>
        </w:rPr>
        <w:t xml:space="preserve">בין הצדדים באשר לאופן בו נרשם </w:t>
      </w:r>
      <w:r w:rsidR="00893D05">
        <w:rPr>
          <w:rFonts w:ascii="David" w:hAnsi="David" w:cs="David" w:hint="cs"/>
          <w:b/>
          <w:bCs/>
          <w:sz w:val="24"/>
          <w:szCs w:val="24"/>
          <w:rtl/>
        </w:rPr>
        <w:t xml:space="preserve">הנתבע </w:t>
      </w:r>
      <w:r w:rsidRPr="007365E3">
        <w:rPr>
          <w:rFonts w:ascii="David" w:hAnsi="David" w:cs="David"/>
          <w:b/>
          <w:bCs/>
          <w:sz w:val="24"/>
          <w:szCs w:val="24"/>
          <w:rtl/>
        </w:rPr>
        <w:t xml:space="preserve"> במרשם המקרקעין כבעל הזכויות בנכס. לטעמי </w:t>
      </w:r>
      <w:r w:rsidRPr="003A3158">
        <w:rPr>
          <w:rFonts w:ascii="David" w:hAnsi="David" w:cs="David"/>
          <w:b/>
          <w:bCs/>
          <w:sz w:val="24"/>
          <w:szCs w:val="24"/>
          <w:u w:val="single"/>
          <w:rtl/>
        </w:rPr>
        <w:t>מחלוקת זו אינה דרושה להכרעה כאן</w:t>
      </w:r>
      <w:r w:rsidRPr="007365E3">
        <w:rPr>
          <w:rFonts w:ascii="David" w:hAnsi="David" w:cs="David"/>
          <w:b/>
          <w:bCs/>
          <w:sz w:val="24"/>
          <w:szCs w:val="24"/>
          <w:rtl/>
        </w:rPr>
        <w:t xml:space="preserve">. </w:t>
      </w:r>
      <w:r w:rsidRPr="007365E3">
        <w:rPr>
          <w:rFonts w:ascii="David" w:hAnsi="David" w:cs="David"/>
          <w:b/>
          <w:bCs/>
          <w:sz w:val="24"/>
          <w:szCs w:val="24"/>
          <w:u w:val="single"/>
          <w:rtl/>
        </w:rPr>
        <w:t>ראיתי לציין בענין זה, ולו על מנת שלא יימצא הנייר חסר, כי הטענה לרישום במרמה, נסתרת בעדויות</w:t>
      </w:r>
      <w:r w:rsidRPr="007365E3">
        <w:rPr>
          <w:rFonts w:ascii="David" w:hAnsi="David" w:cs="David" w:hint="cs"/>
          <w:b/>
          <w:bCs/>
          <w:sz w:val="24"/>
          <w:szCs w:val="24"/>
          <w:u w:val="single"/>
          <w:rtl/>
        </w:rPr>
        <w:t xml:space="preserve"> </w:t>
      </w:r>
      <w:r w:rsidRPr="007365E3">
        <w:rPr>
          <w:rFonts w:ascii="David" w:hAnsi="David" w:cs="David"/>
          <w:b/>
          <w:bCs/>
          <w:sz w:val="24"/>
          <w:szCs w:val="24"/>
          <w:u w:val="single"/>
          <w:rtl/>
        </w:rPr>
        <w:t>התובעים ובאי כוחם....מכאן ברור כי הרישום לא נעשה במרמה</w:t>
      </w:r>
      <w:r w:rsidR="00893D05">
        <w:rPr>
          <w:rFonts w:ascii="David" w:hAnsi="David" w:cs="David"/>
          <w:b/>
          <w:bCs/>
          <w:sz w:val="24"/>
          <w:szCs w:val="24"/>
          <w:rtl/>
        </w:rPr>
        <w:t xml:space="preserve"> , על אף שלאחר רישומו של </w:t>
      </w:r>
      <w:r w:rsidR="00893D05">
        <w:rPr>
          <w:rFonts w:ascii="David" w:hAnsi="David" w:cs="David" w:hint="cs"/>
          <w:b/>
          <w:bCs/>
          <w:sz w:val="24"/>
          <w:szCs w:val="24"/>
          <w:rtl/>
        </w:rPr>
        <w:t xml:space="preserve">הנתבע </w:t>
      </w:r>
      <w:r w:rsidRPr="007365E3">
        <w:rPr>
          <w:rFonts w:ascii="David" w:hAnsi="David" w:cs="David"/>
          <w:b/>
          <w:bCs/>
          <w:sz w:val="24"/>
          <w:szCs w:val="24"/>
          <w:rtl/>
        </w:rPr>
        <w:t xml:space="preserve"> כבל זכויות במרשם, לא נרשמו זכויות התובעים על פי ההסכמות ...... אוסיף...כך שהתובעים לא היו יכולים להי</w:t>
      </w:r>
      <w:r w:rsidR="00893D05">
        <w:rPr>
          <w:rFonts w:ascii="David" w:hAnsi="David" w:cs="David"/>
          <w:b/>
          <w:bCs/>
          <w:sz w:val="24"/>
          <w:szCs w:val="24"/>
          <w:rtl/>
        </w:rPr>
        <w:t xml:space="preserve">רשם במרשם כבעלי זכויות יחד עם </w:t>
      </w:r>
      <w:r w:rsidR="00893D05">
        <w:rPr>
          <w:rFonts w:ascii="David" w:hAnsi="David" w:cs="David" w:hint="cs"/>
          <w:b/>
          <w:bCs/>
          <w:sz w:val="24"/>
          <w:szCs w:val="24"/>
          <w:rtl/>
        </w:rPr>
        <w:t xml:space="preserve">הנתבע </w:t>
      </w:r>
      <w:r w:rsidRPr="007365E3">
        <w:rPr>
          <w:rFonts w:ascii="David" w:hAnsi="David" w:cs="David"/>
          <w:b/>
          <w:bCs/>
          <w:sz w:val="24"/>
          <w:szCs w:val="24"/>
          <w:rtl/>
        </w:rPr>
        <w:t>".</w:t>
      </w:r>
    </w:p>
    <w:p w:rsidR="00130DF8" w:rsidRDefault="00130DF8" w:rsidP="002931B7">
      <w:pPr>
        <w:spacing w:line="360" w:lineRule="auto"/>
        <w:jc w:val="both"/>
        <w:rPr>
          <w:rFonts w:ascii="David" w:hAnsi="David"/>
          <w:rtl/>
        </w:rPr>
      </w:pPr>
      <w:r>
        <w:rPr>
          <w:rFonts w:ascii="David" w:hAnsi="David" w:hint="cs"/>
          <w:rtl/>
        </w:rPr>
        <w:t>1</w:t>
      </w:r>
      <w:r w:rsidR="003A3158">
        <w:rPr>
          <w:rFonts w:ascii="David" w:hAnsi="David" w:hint="cs"/>
          <w:rtl/>
        </w:rPr>
        <w:t>01</w:t>
      </w:r>
      <w:r>
        <w:rPr>
          <w:rFonts w:ascii="David" w:hAnsi="David" w:hint="cs"/>
          <w:rtl/>
        </w:rPr>
        <w:t>.</w:t>
      </w:r>
      <w:r w:rsidR="00705F5B" w:rsidRPr="00130DF8">
        <w:rPr>
          <w:rFonts w:ascii="David" w:hAnsi="David"/>
          <w:rtl/>
        </w:rPr>
        <w:t xml:space="preserve">לדעתי קביעתה  של הבוררת בפסק הדין כאמור לעיל, יש בה אינדיקציה להערכת הבוררת את </w:t>
      </w:r>
    </w:p>
    <w:p w:rsidR="00705F5B" w:rsidRDefault="00130DF8" w:rsidP="002931B7">
      <w:pPr>
        <w:spacing w:line="360" w:lineRule="auto"/>
        <w:ind w:left="375"/>
        <w:jc w:val="both"/>
        <w:rPr>
          <w:rFonts w:ascii="David" w:hAnsi="David"/>
          <w:rtl/>
        </w:rPr>
      </w:pPr>
      <w:r>
        <w:rPr>
          <w:rFonts w:ascii="David" w:hAnsi="David" w:hint="cs"/>
          <w:rtl/>
        </w:rPr>
        <w:t>ס</w:t>
      </w:r>
      <w:r w:rsidR="00705F5B" w:rsidRPr="00130DF8">
        <w:rPr>
          <w:rFonts w:ascii="David" w:hAnsi="David"/>
          <w:rtl/>
        </w:rPr>
        <w:t>יכוי התביעה  לביטול הרישום, ואף מלמדת יותר כי הבוררת גמרה בדעתה באשר לסיכוי תביעה זו  באופן המקים החשש כי דעתה ננעלה</w:t>
      </w:r>
      <w:r w:rsidR="00F021FD">
        <w:rPr>
          <w:rFonts w:ascii="David" w:hAnsi="David" w:hint="cs"/>
          <w:rtl/>
        </w:rPr>
        <w:t xml:space="preserve"> </w:t>
      </w:r>
      <w:r w:rsidR="00705F5B" w:rsidRPr="00130DF8">
        <w:rPr>
          <w:rFonts w:ascii="David" w:hAnsi="David"/>
          <w:rtl/>
        </w:rPr>
        <w:t>. בנסיבות אלה, ובשים לב לכך שהבוררת טרם החלה לדון בשאר התביעות, אני רואה לנכון להורות על הע</w:t>
      </w:r>
      <w:r w:rsidR="00985811" w:rsidRPr="00130DF8">
        <w:rPr>
          <w:rFonts w:ascii="David" w:hAnsi="David"/>
          <w:rtl/>
        </w:rPr>
        <w:t>ברת הבוררת מתפקידה ולמנות במ</w:t>
      </w:r>
      <w:r w:rsidR="00985811" w:rsidRPr="00130DF8">
        <w:rPr>
          <w:rFonts w:ascii="David" w:hAnsi="David" w:hint="cs"/>
          <w:rtl/>
        </w:rPr>
        <w:t>קומה</w:t>
      </w:r>
      <w:r w:rsidR="00705F5B" w:rsidRPr="00130DF8">
        <w:rPr>
          <w:rFonts w:ascii="David" w:hAnsi="David"/>
          <w:rtl/>
        </w:rPr>
        <w:t xml:space="preserve"> בורר אחר. מסקנה זו לא תגרום לעיכובים בשאר התביעות, בשים לב לכך שמדובר בתביעות שונות שאינן קשורות בהכרח בתביעות שהסתיימו בפסק בורר</w:t>
      </w:r>
      <w:r w:rsidR="003A3158">
        <w:rPr>
          <w:rFonts w:ascii="David" w:hAnsi="David" w:hint="cs"/>
          <w:rtl/>
        </w:rPr>
        <w:t>.</w:t>
      </w:r>
    </w:p>
    <w:p w:rsidR="00895DC7" w:rsidRDefault="00895DC7" w:rsidP="00895DC7">
      <w:pPr>
        <w:spacing w:line="360" w:lineRule="auto"/>
        <w:jc w:val="both"/>
        <w:rPr>
          <w:rFonts w:ascii="David" w:hAnsi="David"/>
          <w:rtl/>
        </w:rPr>
      </w:pPr>
    </w:p>
    <w:p w:rsidR="00F021FD" w:rsidRDefault="00F021FD" w:rsidP="002931B7">
      <w:pPr>
        <w:spacing w:line="360" w:lineRule="auto"/>
        <w:ind w:left="375"/>
        <w:jc w:val="both"/>
        <w:rPr>
          <w:rFonts w:ascii="David" w:hAnsi="David"/>
          <w:rtl/>
        </w:rPr>
      </w:pPr>
    </w:p>
    <w:p w:rsidR="00B76A4B" w:rsidRDefault="003A3158" w:rsidP="002931B7">
      <w:pPr>
        <w:spacing w:line="360" w:lineRule="auto"/>
        <w:jc w:val="both"/>
        <w:rPr>
          <w:rFonts w:ascii="David" w:hAnsi="David"/>
          <w:rtl/>
        </w:rPr>
      </w:pPr>
      <w:r>
        <w:rPr>
          <w:rFonts w:ascii="David" w:hAnsi="David" w:hint="cs"/>
          <w:rtl/>
        </w:rPr>
        <w:t>102.</w:t>
      </w:r>
      <w:r w:rsidR="00475CCB" w:rsidRPr="003A3158">
        <w:rPr>
          <w:rFonts w:ascii="David" w:hAnsi="David"/>
          <w:rtl/>
        </w:rPr>
        <w:t xml:space="preserve"> </w:t>
      </w:r>
      <w:r w:rsidR="005D4E8C" w:rsidRPr="005D4223">
        <w:rPr>
          <w:rFonts w:ascii="David" w:hAnsi="David" w:hint="cs"/>
          <w:u w:val="single"/>
          <w:rtl/>
        </w:rPr>
        <w:t>מסקנה</w:t>
      </w:r>
      <w:r w:rsidR="005D4E8C" w:rsidRPr="00B76A4B">
        <w:rPr>
          <w:rFonts w:ascii="David" w:hAnsi="David" w:hint="cs"/>
          <w:rtl/>
        </w:rPr>
        <w:t xml:space="preserve">- אני מורה על העברת הבוררת מתפקידה כבוררת בשאר התביעות , לפי סעיף11(1) </w:t>
      </w:r>
    </w:p>
    <w:p w:rsidR="005D4E8C" w:rsidRDefault="005D4223" w:rsidP="002931B7">
      <w:pPr>
        <w:spacing w:line="360" w:lineRule="auto"/>
        <w:ind w:left="375"/>
        <w:jc w:val="both"/>
        <w:rPr>
          <w:rFonts w:ascii="David" w:hAnsi="David"/>
          <w:u w:val="single"/>
          <w:rtl/>
        </w:rPr>
      </w:pPr>
      <w:r>
        <w:rPr>
          <w:rFonts w:ascii="David" w:hAnsi="David" w:hint="cs"/>
          <w:rtl/>
        </w:rPr>
        <w:t>לחוק,</w:t>
      </w:r>
      <w:r w:rsidR="00B76A4B" w:rsidRPr="00B76A4B">
        <w:rPr>
          <w:rFonts w:ascii="David" w:hAnsi="David" w:hint="cs"/>
          <w:rtl/>
        </w:rPr>
        <w:t>ומורה על מי</w:t>
      </w:r>
      <w:r>
        <w:rPr>
          <w:rFonts w:ascii="David" w:hAnsi="David" w:hint="cs"/>
          <w:rtl/>
        </w:rPr>
        <w:t xml:space="preserve">נוי בורר חליף,לדון בשאר התביעות,וזאת </w:t>
      </w:r>
      <w:r w:rsidRPr="005D4223">
        <w:rPr>
          <w:rtl/>
        </w:rPr>
        <w:t xml:space="preserve"> </w:t>
      </w:r>
      <w:r w:rsidRPr="005D4223">
        <w:rPr>
          <w:rFonts w:ascii="David" w:hAnsi="David"/>
          <w:rtl/>
        </w:rPr>
        <w:t xml:space="preserve">בהעדר </w:t>
      </w:r>
      <w:r>
        <w:rPr>
          <w:rFonts w:ascii="David" w:hAnsi="David" w:hint="cs"/>
          <w:rtl/>
        </w:rPr>
        <w:t xml:space="preserve">כל </w:t>
      </w:r>
      <w:r w:rsidRPr="005D4223">
        <w:rPr>
          <w:rFonts w:ascii="David" w:hAnsi="David"/>
          <w:rtl/>
        </w:rPr>
        <w:t>כוונה אחרת המשתמעת מהסכם</w:t>
      </w:r>
      <w:r>
        <w:rPr>
          <w:rFonts w:ascii="David" w:hAnsi="David" w:hint="cs"/>
          <w:rtl/>
        </w:rPr>
        <w:t xml:space="preserve"> הבוררות. בנוסף לא מצאתי כל טעם מיוחד המצדיק כי הסכסוך לא ידון במסגרת הבוררות.</w:t>
      </w:r>
    </w:p>
    <w:p w:rsidR="00B76A4B" w:rsidRPr="00B76A4B" w:rsidRDefault="00B76A4B" w:rsidP="002931B7">
      <w:pPr>
        <w:spacing w:line="360" w:lineRule="auto"/>
        <w:jc w:val="both"/>
        <w:rPr>
          <w:rFonts w:ascii="David" w:hAnsi="David"/>
          <w:u w:val="single"/>
        </w:rPr>
      </w:pPr>
    </w:p>
    <w:p w:rsidR="005D4E8C" w:rsidRDefault="005D4E8C" w:rsidP="002931B7">
      <w:pPr>
        <w:jc w:val="both"/>
        <w:rPr>
          <w:rFonts w:ascii="David" w:hAnsi="David"/>
          <w:b/>
          <w:bCs/>
          <w:sz w:val="28"/>
          <w:szCs w:val="28"/>
          <w:u w:val="single"/>
          <w:rtl/>
        </w:rPr>
      </w:pPr>
      <w:r w:rsidRPr="00DE24C4">
        <w:rPr>
          <w:rFonts w:ascii="David" w:hAnsi="David" w:hint="cs"/>
          <w:b/>
          <w:bCs/>
          <w:sz w:val="28"/>
          <w:szCs w:val="28"/>
          <w:u w:val="single"/>
          <w:rtl/>
        </w:rPr>
        <w:t>סוף דבר</w:t>
      </w:r>
    </w:p>
    <w:p w:rsidR="002931B7" w:rsidRPr="00DE24C4" w:rsidRDefault="002931B7" w:rsidP="002931B7">
      <w:pPr>
        <w:jc w:val="both"/>
        <w:rPr>
          <w:rFonts w:ascii="David" w:hAnsi="David"/>
          <w:b/>
          <w:bCs/>
          <w:sz w:val="28"/>
          <w:szCs w:val="28"/>
          <w:u w:val="single"/>
        </w:rPr>
      </w:pPr>
    </w:p>
    <w:p w:rsidR="00DE24C4" w:rsidRPr="002931B7" w:rsidRDefault="002931B7" w:rsidP="002931B7">
      <w:pPr>
        <w:jc w:val="both"/>
        <w:rPr>
          <w:rFonts w:ascii="David" w:hAnsi="David"/>
        </w:rPr>
      </w:pPr>
      <w:r>
        <w:rPr>
          <w:rFonts w:ascii="David" w:hAnsi="David" w:hint="cs"/>
          <w:rtl/>
        </w:rPr>
        <w:t>103.</w:t>
      </w:r>
      <w:r w:rsidR="00DE24C4" w:rsidRPr="002931B7">
        <w:rPr>
          <w:rFonts w:ascii="David" w:hAnsi="David" w:hint="cs"/>
          <w:rtl/>
        </w:rPr>
        <w:t>לאור כל האמור לעיל אני מורה כדלקמן :</w:t>
      </w:r>
    </w:p>
    <w:p w:rsidR="00DE24C4" w:rsidRDefault="00DE24C4" w:rsidP="002931B7">
      <w:pPr>
        <w:pStyle w:val="af"/>
        <w:spacing w:line="240" w:lineRule="auto"/>
        <w:ind w:left="360"/>
        <w:jc w:val="both"/>
        <w:rPr>
          <w:rFonts w:ascii="David" w:hAnsi="David" w:cs="David"/>
          <w:sz w:val="24"/>
          <w:szCs w:val="24"/>
        </w:rPr>
      </w:pPr>
    </w:p>
    <w:p w:rsidR="005D4223" w:rsidRDefault="00DE24C4" w:rsidP="002931B7">
      <w:pPr>
        <w:spacing w:line="360" w:lineRule="auto"/>
        <w:jc w:val="both"/>
        <w:rPr>
          <w:rFonts w:ascii="David" w:hAnsi="David"/>
          <w:rtl/>
        </w:rPr>
      </w:pPr>
      <w:r>
        <w:rPr>
          <w:rFonts w:ascii="David" w:hAnsi="David" w:hint="cs"/>
          <w:rtl/>
        </w:rPr>
        <w:t>א.</w:t>
      </w:r>
      <w:r>
        <w:rPr>
          <w:rFonts w:ascii="David" w:hAnsi="David" w:hint="cs"/>
          <w:rtl/>
        </w:rPr>
        <w:tab/>
      </w:r>
      <w:r w:rsidR="005D4E8C" w:rsidRPr="00DE24C4">
        <w:rPr>
          <w:rFonts w:ascii="David" w:hAnsi="David" w:hint="cs"/>
          <w:rtl/>
        </w:rPr>
        <w:t>א</w:t>
      </w:r>
      <w:r>
        <w:rPr>
          <w:rFonts w:ascii="David" w:hAnsi="David" w:hint="cs"/>
          <w:rtl/>
        </w:rPr>
        <w:t xml:space="preserve">ני מורה על דחיית התביעה </w:t>
      </w:r>
      <w:r w:rsidR="00B76A4B" w:rsidRPr="00DE24C4">
        <w:rPr>
          <w:rFonts w:ascii="David" w:hAnsi="David" w:hint="cs"/>
          <w:rtl/>
        </w:rPr>
        <w:t>בתיק ת"ב  42461-06-20  לביטו</w:t>
      </w:r>
      <w:r>
        <w:rPr>
          <w:rFonts w:ascii="David" w:hAnsi="David" w:hint="cs"/>
          <w:rtl/>
        </w:rPr>
        <w:t>ל</w:t>
      </w:r>
      <w:r w:rsidR="00B76A4B" w:rsidRPr="00DE24C4">
        <w:rPr>
          <w:rFonts w:ascii="David" w:hAnsi="David" w:hint="cs"/>
          <w:rtl/>
        </w:rPr>
        <w:t xml:space="preserve"> פסק הבורר.</w:t>
      </w:r>
    </w:p>
    <w:p w:rsidR="005D4223" w:rsidRDefault="005D4223" w:rsidP="002931B7">
      <w:pPr>
        <w:spacing w:line="360" w:lineRule="auto"/>
        <w:jc w:val="both"/>
        <w:rPr>
          <w:rFonts w:ascii="David" w:hAnsi="David"/>
          <w:rtl/>
        </w:rPr>
      </w:pPr>
    </w:p>
    <w:p w:rsidR="00B76A4B" w:rsidRDefault="005D4223" w:rsidP="002931B7">
      <w:pPr>
        <w:spacing w:line="360" w:lineRule="auto"/>
        <w:ind w:left="720" w:hanging="720"/>
        <w:jc w:val="both"/>
        <w:rPr>
          <w:rFonts w:ascii="David" w:hAnsi="David"/>
          <w:rtl/>
        </w:rPr>
      </w:pPr>
      <w:r>
        <w:rPr>
          <w:rFonts w:ascii="David" w:hAnsi="David" w:hint="cs"/>
          <w:rtl/>
        </w:rPr>
        <w:t>ב.</w:t>
      </w:r>
      <w:r>
        <w:rPr>
          <w:rFonts w:ascii="David" w:hAnsi="David"/>
          <w:rtl/>
        </w:rPr>
        <w:tab/>
      </w:r>
      <w:r w:rsidR="00B76A4B" w:rsidRPr="005D4223">
        <w:rPr>
          <w:rFonts w:ascii="David" w:hAnsi="David" w:hint="cs"/>
          <w:rtl/>
        </w:rPr>
        <w:t>אני מאשרת פסק הבורר מיום 12/4/2</w:t>
      </w:r>
      <w:r w:rsidR="00DE24C4" w:rsidRPr="005D4223">
        <w:rPr>
          <w:rFonts w:ascii="David" w:hAnsi="David" w:hint="cs"/>
          <w:rtl/>
        </w:rPr>
        <w:t xml:space="preserve">020,בענין התביעה </w:t>
      </w:r>
      <w:r>
        <w:rPr>
          <w:rFonts w:ascii="David" w:hAnsi="David" w:hint="cs"/>
          <w:rtl/>
        </w:rPr>
        <w:t xml:space="preserve">לפירוק שיתוף ודמי השימוש, וזאת </w:t>
      </w:r>
      <w:r w:rsidRPr="005D4223">
        <w:rPr>
          <w:rtl/>
        </w:rPr>
        <w:t xml:space="preserve"> </w:t>
      </w:r>
      <w:r w:rsidRPr="005D4223">
        <w:rPr>
          <w:rFonts w:ascii="David" w:hAnsi="David"/>
          <w:rtl/>
        </w:rPr>
        <w:t>מכוח סעיף 28 לחוק הבוררות</w:t>
      </w:r>
      <w:r>
        <w:rPr>
          <w:rFonts w:ascii="David" w:hAnsi="David" w:hint="cs"/>
          <w:rtl/>
        </w:rPr>
        <w:t>.</w:t>
      </w:r>
    </w:p>
    <w:p w:rsidR="005D4223" w:rsidRPr="005D4223" w:rsidRDefault="005D4223" w:rsidP="002931B7">
      <w:pPr>
        <w:spacing w:line="360" w:lineRule="auto"/>
        <w:ind w:left="720" w:hanging="720"/>
        <w:jc w:val="both"/>
        <w:rPr>
          <w:rFonts w:ascii="David" w:hAnsi="David"/>
          <w:rtl/>
        </w:rPr>
      </w:pPr>
    </w:p>
    <w:p w:rsidR="005D4223" w:rsidRDefault="00DE24C4" w:rsidP="002931B7">
      <w:pPr>
        <w:spacing w:line="360" w:lineRule="auto"/>
        <w:ind w:left="720" w:hanging="720"/>
        <w:jc w:val="both"/>
        <w:rPr>
          <w:rFonts w:ascii="David" w:hAnsi="David"/>
          <w:rtl/>
        </w:rPr>
      </w:pPr>
      <w:r>
        <w:rPr>
          <w:rFonts w:ascii="David" w:eastAsiaTheme="minorHAnsi" w:hAnsi="David" w:hint="cs"/>
          <w:noProof w:val="0"/>
          <w:rtl/>
        </w:rPr>
        <w:t>ב.</w:t>
      </w:r>
      <w:r>
        <w:rPr>
          <w:rFonts w:ascii="David" w:eastAsiaTheme="minorHAnsi" w:hAnsi="David" w:hint="cs"/>
          <w:noProof w:val="0"/>
          <w:rtl/>
        </w:rPr>
        <w:tab/>
      </w:r>
      <w:r w:rsidR="005D4E8C" w:rsidRPr="00DE24C4">
        <w:rPr>
          <w:rFonts w:ascii="David" w:hAnsi="David" w:hint="cs"/>
          <w:rtl/>
        </w:rPr>
        <w:t xml:space="preserve">אני מקבלת </w:t>
      </w:r>
      <w:r w:rsidR="005D4223">
        <w:rPr>
          <w:rFonts w:ascii="David" w:hAnsi="David" w:hint="cs"/>
          <w:rtl/>
        </w:rPr>
        <w:t xml:space="preserve">באופן חלקי את התביעה </w:t>
      </w:r>
      <w:r w:rsidR="005D4E8C" w:rsidRPr="00DE24C4">
        <w:rPr>
          <w:rFonts w:ascii="David" w:hAnsi="David" w:hint="cs"/>
          <w:b/>
          <w:bCs/>
          <w:u w:val="single"/>
          <w:rtl/>
        </w:rPr>
        <w:t xml:space="preserve"> </w:t>
      </w:r>
      <w:r w:rsidR="005D4223">
        <w:rPr>
          <w:rFonts w:ascii="David" w:hAnsi="David" w:hint="cs"/>
          <w:b/>
          <w:bCs/>
          <w:u w:val="single"/>
          <w:rtl/>
        </w:rPr>
        <w:t>ב</w:t>
      </w:r>
      <w:r w:rsidR="005D4E8C" w:rsidRPr="00DE24C4">
        <w:rPr>
          <w:rFonts w:ascii="David" w:hAnsi="David" w:hint="cs"/>
          <w:b/>
          <w:bCs/>
          <w:u w:val="single"/>
          <w:rtl/>
        </w:rPr>
        <w:t>תמש 53646-07-20</w:t>
      </w:r>
      <w:r w:rsidRPr="00DE24C4">
        <w:rPr>
          <w:rFonts w:ascii="David" w:hAnsi="David" w:hint="cs"/>
          <w:rtl/>
        </w:rPr>
        <w:t>,</w:t>
      </w:r>
      <w:r w:rsidRPr="00DE24C4">
        <w:rPr>
          <w:rtl/>
        </w:rPr>
        <w:t xml:space="preserve"> </w:t>
      </w:r>
      <w:r>
        <w:rPr>
          <w:rFonts w:ascii="David" w:hAnsi="David"/>
          <w:rtl/>
        </w:rPr>
        <w:t>,</w:t>
      </w:r>
      <w:r>
        <w:rPr>
          <w:rFonts w:ascii="David" w:hAnsi="David" w:hint="cs"/>
          <w:rtl/>
        </w:rPr>
        <w:t xml:space="preserve">באופן </w:t>
      </w:r>
      <w:r w:rsidRPr="00DE24C4">
        <w:rPr>
          <w:rFonts w:ascii="David" w:hAnsi="David"/>
          <w:rtl/>
        </w:rPr>
        <w:t xml:space="preserve">להורות על העברת שאר התיקים שטרם נדונו בפני </w:t>
      </w:r>
      <w:r>
        <w:rPr>
          <w:rFonts w:ascii="David" w:hAnsi="David" w:hint="cs"/>
          <w:rtl/>
        </w:rPr>
        <w:t xml:space="preserve">כב' </w:t>
      </w:r>
      <w:r w:rsidRPr="00DE24C4">
        <w:rPr>
          <w:rFonts w:ascii="David" w:hAnsi="David"/>
          <w:rtl/>
        </w:rPr>
        <w:t>הבוררת</w:t>
      </w:r>
      <w:r>
        <w:rPr>
          <w:rFonts w:ascii="David" w:hAnsi="David" w:hint="cs"/>
          <w:rtl/>
        </w:rPr>
        <w:t xml:space="preserve"> השופטת בדימוס נחמה</w:t>
      </w:r>
      <w:r w:rsidRPr="00DE24C4">
        <w:rPr>
          <w:rFonts w:ascii="David" w:hAnsi="David"/>
          <w:rtl/>
        </w:rPr>
        <w:t xml:space="preserve"> מוניץ, להכרעתו של בורר אחר. </w:t>
      </w:r>
    </w:p>
    <w:p w:rsidR="005D4E8C" w:rsidRDefault="00DE24C4" w:rsidP="002931B7">
      <w:pPr>
        <w:spacing w:line="360" w:lineRule="auto"/>
        <w:ind w:left="720"/>
        <w:jc w:val="both"/>
        <w:rPr>
          <w:rFonts w:ascii="David" w:hAnsi="David"/>
          <w:rtl/>
        </w:rPr>
      </w:pPr>
      <w:r w:rsidRPr="00DE24C4">
        <w:rPr>
          <w:rFonts w:ascii="David" w:hAnsi="David"/>
          <w:rtl/>
        </w:rPr>
        <w:t>אני דוחה שאר הסעדים הנתבעים.</w:t>
      </w:r>
      <w:r w:rsidRPr="00DE24C4">
        <w:rPr>
          <w:rFonts w:ascii="David" w:hAnsi="David" w:hint="cs"/>
          <w:rtl/>
        </w:rPr>
        <w:t xml:space="preserve"> </w:t>
      </w:r>
    </w:p>
    <w:p w:rsidR="005D4223" w:rsidRPr="00DE24C4" w:rsidRDefault="005D4223" w:rsidP="002931B7">
      <w:pPr>
        <w:spacing w:line="360" w:lineRule="auto"/>
        <w:ind w:left="720"/>
        <w:jc w:val="both"/>
        <w:rPr>
          <w:rFonts w:ascii="David" w:hAnsi="David"/>
          <w:rtl/>
        </w:rPr>
      </w:pPr>
    </w:p>
    <w:p w:rsidR="00DE24C4" w:rsidRDefault="00DE24C4" w:rsidP="002931B7">
      <w:pPr>
        <w:spacing w:line="360" w:lineRule="auto"/>
        <w:ind w:left="720" w:hanging="720"/>
        <w:jc w:val="both"/>
        <w:rPr>
          <w:rFonts w:ascii="David" w:hAnsi="David"/>
          <w:rtl/>
        </w:rPr>
      </w:pPr>
      <w:r>
        <w:rPr>
          <w:rFonts w:ascii="David" w:hAnsi="David" w:hint="cs"/>
          <w:rtl/>
        </w:rPr>
        <w:t>ג.</w:t>
      </w:r>
      <w:r>
        <w:rPr>
          <w:rFonts w:ascii="David" w:hAnsi="David" w:hint="cs"/>
          <w:rtl/>
        </w:rPr>
        <w:tab/>
      </w:r>
      <w:r w:rsidR="005D4223" w:rsidRPr="005D4223">
        <w:rPr>
          <w:rFonts w:ascii="David" w:hAnsi="David"/>
          <w:rtl/>
        </w:rPr>
        <w:t xml:space="preserve">הצדדים רשאים להגיש הודעה מוסכמת על זהות הבורר החליף עד  </w:t>
      </w:r>
      <w:r w:rsidR="005D4223">
        <w:rPr>
          <w:rFonts w:ascii="David" w:hAnsi="David" w:hint="cs"/>
          <w:rtl/>
        </w:rPr>
        <w:t>ליום 20/11/2023</w:t>
      </w:r>
      <w:r w:rsidR="005D4223" w:rsidRPr="005D4223">
        <w:rPr>
          <w:rFonts w:ascii="David" w:hAnsi="David"/>
          <w:rtl/>
        </w:rPr>
        <w:t xml:space="preserve">     . במידה והצדדים לא יסכימו</w:t>
      </w:r>
      <w:r w:rsidR="0074612A">
        <w:rPr>
          <w:rFonts w:ascii="David" w:hAnsi="David" w:hint="cs"/>
          <w:rtl/>
        </w:rPr>
        <w:t xml:space="preserve"> על זהות הבורר </w:t>
      </w:r>
      <w:r w:rsidR="005D4223" w:rsidRPr="005D4223">
        <w:rPr>
          <w:rFonts w:ascii="David" w:hAnsi="David"/>
          <w:rtl/>
        </w:rPr>
        <w:t xml:space="preserve">, </w:t>
      </w:r>
      <w:r w:rsidR="0074612A">
        <w:rPr>
          <w:rFonts w:ascii="David" w:hAnsi="David" w:hint="cs"/>
          <w:rtl/>
        </w:rPr>
        <w:t>יגישו ר</w:t>
      </w:r>
      <w:r w:rsidR="002931B7">
        <w:rPr>
          <w:rFonts w:ascii="David" w:hAnsi="David" w:hint="cs"/>
          <w:rtl/>
        </w:rPr>
        <w:t xml:space="preserve">שימה </w:t>
      </w:r>
      <w:r w:rsidR="0074612A">
        <w:rPr>
          <w:rFonts w:ascii="David" w:hAnsi="David" w:hint="cs"/>
          <w:rtl/>
        </w:rPr>
        <w:t>של מספר בוררים,וביהמ"</w:t>
      </w:r>
      <w:r w:rsidR="002931B7">
        <w:rPr>
          <w:rFonts w:ascii="David" w:hAnsi="David" w:hint="cs"/>
          <w:rtl/>
        </w:rPr>
        <w:t>ש ימנה בורר מהרשימה.</w:t>
      </w:r>
    </w:p>
    <w:p w:rsidR="00895DC7" w:rsidRDefault="00895DC7" w:rsidP="002931B7">
      <w:pPr>
        <w:spacing w:line="360" w:lineRule="auto"/>
        <w:ind w:left="720" w:hanging="720"/>
        <w:jc w:val="both"/>
        <w:rPr>
          <w:rFonts w:ascii="David" w:hAnsi="David"/>
          <w:rtl/>
        </w:rPr>
      </w:pPr>
    </w:p>
    <w:p w:rsidR="002931B7" w:rsidRDefault="002931B7" w:rsidP="002931B7">
      <w:pPr>
        <w:spacing w:line="360" w:lineRule="auto"/>
        <w:ind w:left="720" w:hanging="720"/>
        <w:jc w:val="both"/>
        <w:rPr>
          <w:rFonts w:ascii="David" w:hAnsi="David"/>
          <w:rtl/>
        </w:rPr>
      </w:pPr>
      <w:r>
        <w:rPr>
          <w:rFonts w:ascii="David" w:hAnsi="David" w:hint="cs"/>
          <w:rtl/>
        </w:rPr>
        <w:t>ד.</w:t>
      </w:r>
      <w:r>
        <w:rPr>
          <w:rFonts w:ascii="David" w:hAnsi="David" w:hint="cs"/>
          <w:rtl/>
        </w:rPr>
        <w:tab/>
        <w:t>בנסיבות הענין, ולאור התוצאה אליה הגעתי כל צד ישא בהוצאותיו.</w:t>
      </w:r>
    </w:p>
    <w:p w:rsidR="00DE24C4" w:rsidRDefault="00DE24C4" w:rsidP="002931B7">
      <w:pPr>
        <w:jc w:val="both"/>
        <w:rPr>
          <w:rFonts w:ascii="David" w:hAnsi="David"/>
          <w:rtl/>
        </w:rPr>
      </w:pPr>
    </w:p>
    <w:p w:rsidR="005D4E8C" w:rsidRPr="002931B7" w:rsidRDefault="005D4E8C" w:rsidP="002931B7">
      <w:pPr>
        <w:ind w:firstLine="720"/>
        <w:jc w:val="both"/>
        <w:rPr>
          <w:rFonts w:ascii="David" w:hAnsi="David"/>
          <w:b/>
          <w:bCs/>
          <w:u w:val="single"/>
          <w:rtl/>
        </w:rPr>
      </w:pPr>
      <w:r w:rsidRPr="002931B7">
        <w:rPr>
          <w:rFonts w:ascii="David" w:hAnsi="David" w:hint="cs"/>
          <w:b/>
          <w:bCs/>
          <w:u w:val="single"/>
          <w:rtl/>
        </w:rPr>
        <w:t>המזכירות תשלח העתק מפסק דין זה לב"כ הצדדים</w:t>
      </w:r>
      <w:r w:rsidR="002931B7">
        <w:rPr>
          <w:rFonts w:ascii="David" w:hAnsi="David" w:hint="cs"/>
          <w:b/>
          <w:bCs/>
          <w:u w:val="single"/>
          <w:rtl/>
        </w:rPr>
        <w:t xml:space="preserve"> ולבוררת</w:t>
      </w:r>
      <w:r w:rsidR="002931B7" w:rsidRPr="002931B7">
        <w:rPr>
          <w:rFonts w:ascii="David" w:hAnsi="David" w:hint="cs"/>
          <w:b/>
          <w:bCs/>
          <w:u w:val="single"/>
          <w:rtl/>
        </w:rPr>
        <w:t>.</w:t>
      </w:r>
    </w:p>
    <w:p w:rsidR="005D4E8C" w:rsidRPr="002931B7" w:rsidRDefault="005D4E8C" w:rsidP="002931B7">
      <w:pPr>
        <w:jc w:val="both"/>
        <w:rPr>
          <w:rFonts w:ascii="David" w:hAnsi="David"/>
          <w:b/>
          <w:bCs/>
          <w:u w:val="single"/>
          <w:rtl/>
        </w:rPr>
      </w:pPr>
    </w:p>
    <w:p w:rsidR="005D4E8C" w:rsidRDefault="005D4E8C" w:rsidP="002931B7">
      <w:pPr>
        <w:bidi w:val="0"/>
        <w:jc w:val="both"/>
        <w:rPr>
          <w:rFonts w:ascii="David" w:hAnsi="David"/>
          <w:b/>
          <w:bCs/>
          <w:u w:val="double"/>
        </w:rPr>
      </w:pPr>
    </w:p>
    <w:p w:rsidR="00431D36" w:rsidRDefault="00431D36" w:rsidP="002931B7">
      <w:pPr>
        <w:jc w:val="both"/>
        <w:rPr>
          <w:rFonts w:ascii="David" w:hAnsi="David"/>
          <w:b/>
          <w:bCs/>
          <w:u w:val="double"/>
          <w:rtl/>
        </w:rPr>
      </w:pPr>
    </w:p>
    <w:p w:rsidR="00694556" w:rsidRDefault="00694556" w:rsidP="002931B7">
      <w:pPr>
        <w:spacing w:line="360" w:lineRule="auto"/>
        <w:jc w:val="both"/>
        <w:rPr>
          <w:rFonts w:ascii="Arial" w:hAnsi="Arial"/>
          <w:noProof w:val="0"/>
          <w:rtl/>
        </w:rPr>
      </w:pPr>
    </w:p>
    <w:p w:rsidR="00694556" w:rsidRDefault="00005C8B" w:rsidP="002931B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אוקטובר 2023</w:t>
          </w:r>
        </w:sdtContent>
      </w:sdt>
      <w:r>
        <w:rPr>
          <w:rFonts w:ascii="Arial" w:hAnsi="Arial"/>
          <w:noProof w:val="0"/>
          <w:rtl/>
        </w:rPr>
        <w:t>, בהעדר הצדדים.</w:t>
      </w:r>
    </w:p>
    <w:p w:rsidR="005B0F49" w:rsidRDefault="005B0F49" w:rsidP="002931B7">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90773" w:rsidP="002931B7">
      <w:pPr>
        <w:spacing w:line="360" w:lineRule="auto"/>
        <w:ind w:left="3600" w:firstLine="720"/>
        <w:jc w:val="both"/>
      </w:pPr>
      <w:sdt>
        <w:sdtPr>
          <w:rPr>
            <w:rtl/>
          </w:rPr>
          <w:alias w:val="MergeField"/>
          <w:tag w:val="1237"/>
          <w:id w:val="150112361"/>
        </w:sdtPr>
        <w:sdtEndPr/>
        <w:sdtContent>
          <w:r w:rsidR="001D58E1">
            <w:drawing>
              <wp:inline distT="0" distB="0" distL="0" distR="0" wp14:editId="50D07946">
                <wp:extent cx="2447925"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447925" cy="847725"/>
                        </a:xfrm>
                        <a:prstGeom prst="rect">
                          <a:avLst/>
                        </a:prstGeom>
                      </pic:spPr>
                    </pic:pic>
                  </a:graphicData>
                </a:graphic>
              </wp:inline>
            </w:drawing>
          </w:r>
        </w:sdtContent>
      </w:sdt>
    </w:p>
    <w:p w:rsidR="00694556" w:rsidRDefault="00694556" w:rsidP="002931B7">
      <w:pPr>
        <w:spacing w:line="360" w:lineRule="auto"/>
        <w:ind w:left="3600" w:firstLine="720"/>
        <w:jc w:val="both"/>
        <w:rPr>
          <w:rFonts w:ascii="Arial" w:hAnsi="Arial"/>
          <w:noProof w:val="0"/>
          <w:rtl/>
        </w:rPr>
      </w:pPr>
    </w:p>
    <w:p w:rsidR="002931B7" w:rsidRPr="003502C6" w:rsidRDefault="002931B7" w:rsidP="002931B7">
      <w:pPr>
        <w:spacing w:line="360" w:lineRule="auto"/>
        <w:jc w:val="both"/>
        <w:rPr>
          <w:rFonts w:ascii="Arial" w:hAnsi="Arial"/>
          <w:noProof w:val="0"/>
        </w:rPr>
      </w:pPr>
    </w:p>
    <w:p w:rsidR="00694556" w:rsidRDefault="00694556" w:rsidP="002931B7">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773" w:rsidRDefault="00F90773">
      <w:r>
        <w:separator/>
      </w:r>
    </w:p>
  </w:endnote>
  <w:endnote w:type="continuationSeparator" w:id="0">
    <w:p w:rsidR="00F90773" w:rsidRDefault="00F9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F8A" w:rsidRDefault="00B42F8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d"/>
      </w:rPr>
    </w:pPr>
    <w:r w:rsidRPr="004E6E3C">
      <w:rPr>
        <w:rStyle w:val="ad"/>
        <w:rFonts w:cs="Times New Roman"/>
      </w:rPr>
      <w:fldChar w:fldCharType="begin"/>
    </w:r>
    <w:r w:rsidR="00005C8B" w:rsidRPr="004E6E3C">
      <w:rPr>
        <w:rStyle w:val="ad"/>
        <w:rFonts w:cs="Times New Roman"/>
      </w:rPr>
      <w:instrText xml:space="preserve"> PAGE </w:instrText>
    </w:r>
    <w:r w:rsidRPr="004E6E3C">
      <w:rPr>
        <w:rStyle w:val="ad"/>
        <w:rFonts w:cs="Times New Roman"/>
      </w:rPr>
      <w:fldChar w:fldCharType="separate"/>
    </w:r>
    <w:r w:rsidR="00B42F8A">
      <w:rPr>
        <w:rStyle w:val="ad"/>
        <w:rFonts w:cs="Times New Roman"/>
        <w:rtl/>
      </w:rPr>
      <w:t>1</w:t>
    </w:r>
    <w:r w:rsidRPr="004E6E3C">
      <w:rPr>
        <w:rStyle w:val="ad"/>
        <w:rFonts w:cs="Times New Roman"/>
      </w:rPr>
      <w:fldChar w:fldCharType="end"/>
    </w:r>
    <w:r w:rsidR="00005C8B" w:rsidRPr="004E6E3C">
      <w:rPr>
        <w:rStyle w:val="ad"/>
        <w:rFonts w:hint="cs"/>
        <w:rtl/>
      </w:rPr>
      <w:t xml:space="preserve"> מתוך </w:t>
    </w:r>
    <w:r w:rsidRPr="004E6E3C">
      <w:rPr>
        <w:rStyle w:val="ad"/>
      </w:rPr>
      <w:fldChar w:fldCharType="begin"/>
    </w:r>
    <w:r w:rsidR="00005C8B" w:rsidRPr="004E6E3C">
      <w:rPr>
        <w:rStyle w:val="ad"/>
      </w:rPr>
      <w:instrText xml:space="preserve"> NUMPAGES </w:instrText>
    </w:r>
    <w:r w:rsidRPr="004E6E3C">
      <w:rPr>
        <w:rStyle w:val="ad"/>
      </w:rPr>
      <w:fldChar w:fldCharType="separate"/>
    </w:r>
    <w:r w:rsidR="00B42F8A">
      <w:rPr>
        <w:rStyle w:val="ad"/>
        <w:rtl/>
      </w:rPr>
      <w:t>28</w:t>
    </w:r>
    <w:r w:rsidRPr="004E6E3C">
      <w:rPr>
        <w:rStyle w:val="a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F8A" w:rsidRDefault="00B42F8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773" w:rsidRDefault="00F90773">
      <w:r>
        <w:separator/>
      </w:r>
    </w:p>
  </w:footnote>
  <w:footnote w:type="continuationSeparator" w:id="0">
    <w:p w:rsidR="00F90773" w:rsidRDefault="00F90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F8A" w:rsidRDefault="00B42F8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90773" w:rsidP="00893D05">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ת"ב</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42461-06-20</w:t>
              </w:r>
            </w:sdtContent>
          </w:sdt>
          <w:bookmarkEnd w:id="0"/>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893D05">
                <w:rPr>
                  <w:b/>
                  <w:bCs/>
                  <w:noProof w:val="0"/>
                  <w:sz w:val="26"/>
                  <w:szCs w:val="26"/>
                  <w:rtl/>
                </w:rPr>
                <w:t xml:space="preserve">     </w:t>
              </w:r>
            </w:sdtContent>
          </w:sdt>
        </w:p>
        <w:p w:rsidR="00694556" w:rsidRPr="00957C90" w:rsidRDefault="00694556">
          <w:pPr>
            <w:rPr>
              <w:b/>
              <w:bCs/>
              <w:noProof w:val="0"/>
              <w:sz w:val="2"/>
              <w:szCs w:val="2"/>
              <w:rtl/>
            </w:rPr>
          </w:pPr>
        </w:p>
        <w:p w:rsidR="0043595F" w:rsidRDefault="00AD0C3F" w:rsidP="00614213">
          <w:pPr>
            <w:rPr>
              <w:b/>
              <w:bCs/>
              <w:noProof w:val="0"/>
              <w:sz w:val="26"/>
              <w:szCs w:val="26"/>
              <w:rtl/>
            </w:rPr>
          </w:pPr>
          <w:r>
            <w:rPr>
              <w:rFonts w:hint="cs"/>
              <w:b/>
              <w:bCs/>
              <w:noProof w:val="0"/>
              <w:sz w:val="26"/>
              <w:szCs w:val="26"/>
              <w:rtl/>
            </w:rPr>
            <w:t>תמ"ש 53646</w:t>
          </w:r>
          <w:r w:rsidR="00614213">
            <w:rPr>
              <w:rFonts w:hint="cs"/>
              <w:b/>
              <w:bCs/>
              <w:noProof w:val="0"/>
              <w:sz w:val="26"/>
              <w:szCs w:val="26"/>
              <w:rtl/>
            </w:rPr>
            <w:t>-07-20</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F8A" w:rsidRDefault="00B42F8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8C1"/>
    <w:multiLevelType w:val="hybridMultilevel"/>
    <w:tmpl w:val="1BD64904"/>
    <w:lvl w:ilvl="0" w:tplc="CBF638BE">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871DF6"/>
    <w:multiLevelType w:val="hybridMultilevel"/>
    <w:tmpl w:val="309EA6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6C024B"/>
    <w:multiLevelType w:val="hybridMultilevel"/>
    <w:tmpl w:val="54DCDDD0"/>
    <w:lvl w:ilvl="0" w:tplc="3A4CCD4C">
      <w:start w:val="1"/>
      <w:numFmt w:val="hebrew1"/>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436EA"/>
    <w:multiLevelType w:val="hybridMultilevel"/>
    <w:tmpl w:val="8AA08028"/>
    <w:lvl w:ilvl="0" w:tplc="8A5A236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60607"/>
    <w:multiLevelType w:val="hybridMultilevel"/>
    <w:tmpl w:val="E46CC9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084C49"/>
    <w:multiLevelType w:val="hybridMultilevel"/>
    <w:tmpl w:val="E7763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77728"/>
    <w:multiLevelType w:val="hybridMultilevel"/>
    <w:tmpl w:val="00B202D0"/>
    <w:lvl w:ilvl="0" w:tplc="DD7425EE">
      <w:start w:val="1"/>
      <w:numFmt w:val="hebrew1"/>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F32EC"/>
    <w:multiLevelType w:val="hybridMultilevel"/>
    <w:tmpl w:val="8C203324"/>
    <w:lvl w:ilvl="0" w:tplc="8A544DD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959E2"/>
    <w:multiLevelType w:val="hybridMultilevel"/>
    <w:tmpl w:val="A698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435A2"/>
    <w:multiLevelType w:val="hybridMultilevel"/>
    <w:tmpl w:val="EA00B450"/>
    <w:lvl w:ilvl="0" w:tplc="431CD372">
      <w:start w:val="1"/>
      <w:numFmt w:val="hebrew1"/>
      <w:lvlText w:val="%1."/>
      <w:lvlJc w:val="left"/>
      <w:pPr>
        <w:ind w:left="720" w:hanging="360"/>
      </w:pPr>
      <w:rPr>
        <w:rFonts w:asciiTheme="minorHAnsi" w:hAnsiTheme="minorHAnsi" w:cstheme="minorBidi" w:hint="default"/>
        <w:b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BF4207"/>
    <w:multiLevelType w:val="hybridMultilevel"/>
    <w:tmpl w:val="AC5CE79E"/>
    <w:lvl w:ilvl="0" w:tplc="A684BDB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C80529"/>
    <w:multiLevelType w:val="hybridMultilevel"/>
    <w:tmpl w:val="7174E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761501"/>
    <w:multiLevelType w:val="hybridMultilevel"/>
    <w:tmpl w:val="0A56F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75502"/>
    <w:multiLevelType w:val="hybridMultilevel"/>
    <w:tmpl w:val="9BAA2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BC24FA"/>
    <w:multiLevelType w:val="hybridMultilevel"/>
    <w:tmpl w:val="74962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56742"/>
    <w:multiLevelType w:val="hybridMultilevel"/>
    <w:tmpl w:val="3F0895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6C409D"/>
    <w:multiLevelType w:val="hybridMultilevel"/>
    <w:tmpl w:val="158E2868"/>
    <w:lvl w:ilvl="0" w:tplc="DD7425EE">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B75296"/>
    <w:multiLevelType w:val="hybridMultilevel"/>
    <w:tmpl w:val="1AAA45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A3A08F3"/>
    <w:multiLevelType w:val="hybridMultilevel"/>
    <w:tmpl w:val="03785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794ED0"/>
    <w:multiLevelType w:val="hybridMultilevel"/>
    <w:tmpl w:val="80A0E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8505DA"/>
    <w:multiLevelType w:val="hybridMultilevel"/>
    <w:tmpl w:val="763C8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45501D"/>
    <w:multiLevelType w:val="hybridMultilevel"/>
    <w:tmpl w:val="A7225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97489"/>
    <w:multiLevelType w:val="hybridMultilevel"/>
    <w:tmpl w:val="2AB01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AF51AF"/>
    <w:multiLevelType w:val="hybridMultilevel"/>
    <w:tmpl w:val="D812C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3698A"/>
    <w:multiLevelType w:val="hybridMultilevel"/>
    <w:tmpl w:val="C08EC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010709"/>
    <w:multiLevelType w:val="hybridMultilevel"/>
    <w:tmpl w:val="1A78D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96998"/>
    <w:multiLevelType w:val="hybridMultilevel"/>
    <w:tmpl w:val="951CD03E"/>
    <w:lvl w:ilvl="0" w:tplc="818EB172">
      <w:start w:val="1"/>
      <w:numFmt w:val="decimal"/>
      <w:lvlText w:val="%1."/>
      <w:lvlJc w:val="left"/>
      <w:pPr>
        <w:ind w:left="360" w:hanging="360"/>
      </w:pPr>
      <w:rPr>
        <w:b w:val="0"/>
        <w:bCs w:val="0"/>
        <w:lang w:bidi="he-I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B33853"/>
    <w:multiLevelType w:val="hybridMultilevel"/>
    <w:tmpl w:val="F93AD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1B57A5"/>
    <w:multiLevelType w:val="hybridMultilevel"/>
    <w:tmpl w:val="2C8660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9F21D7D"/>
    <w:multiLevelType w:val="hybridMultilevel"/>
    <w:tmpl w:val="ED14D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D012DE"/>
    <w:multiLevelType w:val="hybridMultilevel"/>
    <w:tmpl w:val="FA345AC2"/>
    <w:lvl w:ilvl="0" w:tplc="DD7425EE">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D9B012A"/>
    <w:multiLevelType w:val="hybridMultilevel"/>
    <w:tmpl w:val="585AD5FA"/>
    <w:lvl w:ilvl="0" w:tplc="4D66C0A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C7714"/>
    <w:multiLevelType w:val="hybridMultilevel"/>
    <w:tmpl w:val="0588A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FA29F0"/>
    <w:multiLevelType w:val="hybridMultilevel"/>
    <w:tmpl w:val="C0D2D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D70076"/>
    <w:multiLevelType w:val="hybridMultilevel"/>
    <w:tmpl w:val="5B402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270839"/>
    <w:multiLevelType w:val="hybridMultilevel"/>
    <w:tmpl w:val="6BBA4C84"/>
    <w:lvl w:ilvl="0" w:tplc="DD7425E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2E2D73"/>
    <w:multiLevelType w:val="hybridMultilevel"/>
    <w:tmpl w:val="B5701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C8B5D2C"/>
    <w:multiLevelType w:val="hybridMultilevel"/>
    <w:tmpl w:val="1788267E"/>
    <w:lvl w:ilvl="0" w:tplc="14A0C58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4010CD"/>
    <w:multiLevelType w:val="hybridMultilevel"/>
    <w:tmpl w:val="75BC2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4315CB"/>
    <w:multiLevelType w:val="hybridMultilevel"/>
    <w:tmpl w:val="5FF83CFA"/>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3A71D71"/>
    <w:multiLevelType w:val="hybridMultilevel"/>
    <w:tmpl w:val="7B76E65E"/>
    <w:lvl w:ilvl="0" w:tplc="12B4011E">
      <w:start w:val="1"/>
      <w:numFmt w:val="hebrew1"/>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33646D"/>
    <w:multiLevelType w:val="hybridMultilevel"/>
    <w:tmpl w:val="F99205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99A5B51"/>
    <w:multiLevelType w:val="hybridMultilevel"/>
    <w:tmpl w:val="0D389FEC"/>
    <w:lvl w:ilvl="0" w:tplc="431CD372">
      <w:start w:val="1"/>
      <w:numFmt w:val="hebrew1"/>
      <w:lvlText w:val="%1."/>
      <w:lvlJc w:val="left"/>
      <w:pPr>
        <w:ind w:left="1440" w:hanging="360"/>
      </w:pPr>
      <w:rPr>
        <w:rFonts w:asciiTheme="minorHAnsi" w:hAnsiTheme="minorHAnsi" w:cstheme="minorBidi" w:hint="default"/>
        <w:b w:val="0"/>
        <w:sz w:val="22"/>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A4E4CF4"/>
    <w:multiLevelType w:val="hybridMultilevel"/>
    <w:tmpl w:val="176E5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982E77"/>
    <w:multiLevelType w:val="hybridMultilevel"/>
    <w:tmpl w:val="7DC67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A809B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E22215B"/>
    <w:multiLevelType w:val="hybridMultilevel"/>
    <w:tmpl w:val="A26A3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6"/>
  </w:num>
  <w:num w:numId="3">
    <w:abstractNumId w:val="2"/>
  </w:num>
  <w:num w:numId="4">
    <w:abstractNumId w:val="22"/>
  </w:num>
  <w:num w:numId="5">
    <w:abstractNumId w:val="15"/>
  </w:num>
  <w:num w:numId="6">
    <w:abstractNumId w:val="14"/>
  </w:num>
  <w:num w:numId="7">
    <w:abstractNumId w:val="40"/>
  </w:num>
  <w:num w:numId="8">
    <w:abstractNumId w:val="6"/>
  </w:num>
  <w:num w:numId="9">
    <w:abstractNumId w:val="35"/>
  </w:num>
  <w:num w:numId="10">
    <w:abstractNumId w:val="0"/>
  </w:num>
  <w:num w:numId="11">
    <w:abstractNumId w:val="16"/>
  </w:num>
  <w:num w:numId="12">
    <w:abstractNumId w:val="30"/>
  </w:num>
  <w:num w:numId="13">
    <w:abstractNumId w:val="33"/>
  </w:num>
  <w:num w:numId="14">
    <w:abstractNumId w:val="28"/>
  </w:num>
  <w:num w:numId="15">
    <w:abstractNumId w:val="7"/>
  </w:num>
  <w:num w:numId="16">
    <w:abstractNumId w:val="10"/>
  </w:num>
  <w:num w:numId="17">
    <w:abstractNumId w:val="3"/>
  </w:num>
  <w:num w:numId="18">
    <w:abstractNumId w:val="37"/>
  </w:num>
  <w:num w:numId="19">
    <w:abstractNumId w:val="46"/>
  </w:num>
  <w:num w:numId="20">
    <w:abstractNumId w:val="21"/>
  </w:num>
  <w:num w:numId="21">
    <w:abstractNumId w:val="31"/>
  </w:num>
  <w:num w:numId="22">
    <w:abstractNumId w:val="1"/>
  </w:num>
  <w:num w:numId="23">
    <w:abstractNumId w:val="29"/>
  </w:num>
  <w:num w:numId="24">
    <w:abstractNumId w:val="13"/>
  </w:num>
  <w:num w:numId="25">
    <w:abstractNumId w:val="34"/>
  </w:num>
  <w:num w:numId="26">
    <w:abstractNumId w:val="36"/>
  </w:num>
  <w:num w:numId="27">
    <w:abstractNumId w:val="24"/>
  </w:num>
  <w:num w:numId="28">
    <w:abstractNumId w:val="8"/>
  </w:num>
  <w:num w:numId="29">
    <w:abstractNumId w:val="43"/>
  </w:num>
  <w:num w:numId="30">
    <w:abstractNumId w:val="17"/>
  </w:num>
  <w:num w:numId="31">
    <w:abstractNumId w:val="19"/>
  </w:num>
  <w:num w:numId="32">
    <w:abstractNumId w:val="41"/>
  </w:num>
  <w:num w:numId="33">
    <w:abstractNumId w:val="23"/>
  </w:num>
  <w:num w:numId="34">
    <w:abstractNumId w:val="4"/>
  </w:num>
  <w:num w:numId="35">
    <w:abstractNumId w:val="11"/>
  </w:num>
  <w:num w:numId="36">
    <w:abstractNumId w:val="27"/>
  </w:num>
  <w:num w:numId="37">
    <w:abstractNumId w:val="9"/>
  </w:num>
  <w:num w:numId="38">
    <w:abstractNumId w:val="42"/>
  </w:num>
  <w:num w:numId="39">
    <w:abstractNumId w:val="39"/>
  </w:num>
  <w:num w:numId="40">
    <w:abstractNumId w:val="38"/>
  </w:num>
  <w:num w:numId="41">
    <w:abstractNumId w:val="25"/>
  </w:num>
  <w:num w:numId="42">
    <w:abstractNumId w:val="5"/>
  </w:num>
  <w:num w:numId="43">
    <w:abstractNumId w:val="18"/>
  </w:num>
  <w:num w:numId="44">
    <w:abstractNumId w:val="44"/>
  </w:num>
  <w:num w:numId="45">
    <w:abstractNumId w:val="32"/>
  </w:num>
  <w:num w:numId="46">
    <w:abstractNumId w:val="12"/>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49017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490175&amp;lt;/CaseID&amp;gt;_x000d__x000a_        &amp;lt;CaseMonth&amp;gt;6&amp;lt;/CaseMonth&amp;gt;_x000d__x000a_        &amp;lt;CaseYear&amp;gt;2020&amp;lt;/CaseYear&amp;gt;_x000d__x000a_        &amp;lt;CaseNumber&amp;gt;42461&amp;lt;/CaseNumber&amp;gt;_x000d__x000a_        &amp;lt;NumeratorGroupID&amp;gt;1&amp;lt;/NumeratorGroupID&amp;gt;_x000d__x000a_        &amp;lt;CaseName&amp;gt;הירש ואח&amp;#39; נ&amp;#39; הירש ואח&amp;#39;&amp;lt;/CaseName&amp;gt;_x000d__x000a_        &amp;lt;CourtID&amp;gt;17&amp;lt;/CourtID&amp;gt;_x000d__x000a_        &amp;lt;CaseTypeID&amp;gt;10047&amp;lt;/CaseTypeID&amp;gt;_x000d__x000a_        &amp;lt;CaseInterestID&amp;gt;12&amp;lt;/CaseInterestID&amp;gt;_x000d__x000a_        &amp;lt;CaseJudgeName&amp;gt;ג&amp;#39;מילה ג&amp;#39;בארין כליפ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461-06-20&amp;lt;/CaseDisplayIdentifier&amp;gt;_x000d__x000a_        &amp;lt;CaseTypeDesc&amp;gt;ת&amp;quot;ב&amp;lt;/CaseTypeDesc&amp;gt;_x000d__x000a_        &amp;lt;CourtDesc&amp;gt;שלום נצרת&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6-17T11:44:00+03:00&amp;lt;/CaseOpenDate&amp;gt;_x000d__x000a_        &amp;lt;PleaTypeID&amp;gt;5&amp;lt;/PleaTypeID&amp;gt;_x000d__x000a_        &amp;lt;CourtLevelID&amp;gt;1&amp;lt;/CourtLevelID&amp;gt;_x000d__x000a_        &amp;lt;CourtLevelCaseTypeInterestID&amp;gt;162&amp;lt;/CourtLevelCaseTypeInterestID&amp;gt;_x000d__x000a_        &amp;lt;CaseJudgeFirstName&amp;gt;ג&amp;#39;מילה&amp;lt;/CaseJudgeFirstName&amp;gt;_x000d__x000a_        &amp;lt;CaseJudgeLastName&amp;gt;ג&amp;#39;בארין כליפה&amp;lt;/CaseJudgeLastName&amp;gt;_x000d__x000a_        &amp;lt;JudicalPersonID&amp;gt;027529551@GOV.IL&amp;lt;/JudicalPersonID&amp;gt;_x000d__x000a_        &amp;lt;IsJudicalPanel&amp;gt;false&amp;lt;/IsJudicalPanel&amp;gt;_x000d__x000a_        &amp;lt;CourtDisplayName&amp;gt;בית משפט לענייני משפחה בנצרת&amp;lt;/CourtDisplayName&amp;gt;_x000d__x000a_        &amp;lt;IsAllStartDataCollected&amp;gt;true&amp;lt;/IsAllStartDataCollected&amp;gt;_x000d__x000a_        &amp;lt;IsMainCase&amp;gt;false&amp;lt;/IsMainCase&amp;gt;_x000d__x000a_        &amp;lt;CaseDesc&amp;gt;17.06.20_x000d__x000a_התקבל עותק נוסף מה&amp;quot;בקשה לביטול פסק בוררות&amp;quot; + &amp;quot;בקשה לביטול בוררות ולחילופין להעברת בוררות מתפקידה ולמינוי בורר חליף&amp;quot;_x000d__x000a_נמצא במדור שירות לקהל._x000d__x000a_ליאת.&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490175&amp;lt;/CaseID&amp;gt;_x000d__x000a_        &amp;lt;CaseMonth&amp;gt;6&amp;lt;/CaseMonth&amp;gt;_x000d__x000a_        &amp;lt;CaseYear&amp;gt;2020&amp;lt;/CaseYear&amp;gt;_x000d__x000a_        &amp;lt;CaseNumber&amp;gt;42461&amp;lt;/CaseNumber&amp;gt;_x000d__x000a_        &amp;lt;NumeratorGroupID&amp;gt;1&amp;lt;/NumeratorGroupID&amp;gt;_x000d__x000a_        &amp;lt;CaseName&amp;gt;הירש ואח&amp;#39; נ&amp;#39; הירש ואח&amp;#39;&amp;lt;/CaseName&amp;gt;_x000d__x000a_        &amp;lt;CourtID&amp;gt;17&amp;lt;/CourtID&amp;gt;_x000d__x000a_        &amp;lt;CaseTypeID&amp;gt;10047&amp;lt;/CaseTypeID&amp;gt;_x000d__x000a_        &amp;lt;CaseInterestID&amp;gt;12&amp;lt;/CaseInterestID&amp;gt;_x000d__x000a_        &amp;lt;CaseJudgeName&amp;gt;ג&amp;#39;מילה ג&amp;#39;בארין כליפ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461-06-20&amp;lt;/CaseDisplayIdentifier&amp;gt;_x000d__x000a_        &amp;lt;CaseTypeDesc&amp;gt;ת&amp;quot;ב&amp;lt;/CaseTypeDesc&amp;gt;_x000d__x000a_        &amp;lt;CourtDesc&amp;gt;שלום נצרת&amp;lt;/CourtDesc&amp;gt;_x000d__x000a_        &amp;lt;CaseStageDesc&amp;gt;תיק אלקטרוני&amp;lt;/CaseStageDesc&amp;gt;_x000d__x000a_        &amp;lt;CaseNextDeterminingTask&amp;gt;34&amp;lt;/CaseNextDeterminingTask&amp;gt;_x000d__x000a_        &amp;lt;CaseOpenDate&amp;gt;2020-06-17T11:44:00+03:00&amp;lt;/CaseOpenDate&amp;gt;_x000d__x000a_        &amp;lt;PleaTypeID&amp;gt;5&amp;lt;/PleaTypeID&amp;gt;_x000d__x000a_        &amp;lt;CourtLevelID&amp;gt;1&amp;lt;/CourtLevelID&amp;gt;_x000d__x000a_        &amp;lt;CourtLevelCaseTypeInterestID&amp;gt;162&amp;lt;/CourtLevelCaseTypeInterestID&amp;gt;_x000d__x000a_        &amp;lt;CaseJudgeFirstName&amp;gt;ג&amp;#39;מילה&amp;lt;/CaseJudgeFirstName&amp;gt;_x000d__x000a_        &amp;lt;CaseJudgeLastName&amp;gt;ג&amp;#39;בארין כליפה&amp;lt;/CaseJudgeLastName&amp;gt;_x000d__x000a_        &amp;lt;JudicalPersonID&amp;gt;027529551@GOV.IL&amp;lt;/JudicalPersonID&amp;gt;_x000d__x000a_        &amp;lt;IsJudicalPanel&amp;gt;false&amp;lt;/IsJudicalPanel&amp;gt;_x000d__x000a_        &amp;lt;CourtDisplayName&amp;gt;בית משפט לענייני משפחה בנצרת&amp;lt;/CourtDisplayName&amp;gt;_x000d__x000a_        &amp;lt;IsAllStartDataCollected&amp;gt;true&amp;lt;/IsAllStartDataCollected&amp;gt;_x000d__x000a_        &amp;lt;IsMainCase&amp;gt;false&amp;lt;/IsMainCase&amp;gt;_x000d__x000a_        &amp;lt;CaseDesc&amp;gt;17.06.20_x000d__x000a_התקבל עותק נוסף מה&amp;quot;בקשה לביטול פסק בוררות&amp;quot; + &amp;quot;בקשה לביטול בוררות ולחילופין להעברת בוררות מתפקידה ולמינוי בורר חליף&amp;quot;_x000d__x000a_נמצא במדור שירות לקהל._x000d__x000a_ליאת.&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36712&amp;lt;/DecisionID&amp;gt;_x000d__x000a_        &amp;lt;DecisionName&amp;gt;פסק דין  שניתנה ע&amp;quot;י  ג&amp;#39;מילה ג&amp;#39;בארין כליפה&amp;lt;/DecisionName&amp;gt;_x000d__x000a_        &amp;lt;DecisionStatusID&amp;gt;1&amp;lt;/DecisionStatusID&amp;gt;_x000d__x000a_        &amp;lt;DecisionStatusChangeDate&amp;gt;2023-10-24T14:52:37.537+03:00&amp;lt;/DecisionStatusChangeDate&amp;gt;_x000d__x000a_        &amp;lt;DecisionSignatureDate&amp;gt;2023-10-15T09:01:05.1+03:00&amp;lt;/DecisionSignatureDate&amp;gt;_x000d__x000a_        &amp;lt;DecisionSignatureUserID&amp;gt;027529551@GOV.IL&amp;lt;/DecisionSignatureUserID&amp;gt;_x000d__x000a_        &amp;lt;DecisionCreateDate&amp;gt;2023-10-15T09:04:08.57+03:00&amp;lt;/DecisionCreateDate&amp;gt;_x000d__x000a_        &amp;lt;DecisionChangeDate&amp;gt;2023-10-24T14:52:37.737+03:00&amp;lt;/DecisionChangeDate&amp;gt;_x000d__x000a_        &amp;lt;DecisionChangeUserID&amp;gt;0275295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50687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52955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529551@GOV.IL&amp;lt;/DecisionCreationUserID&amp;gt;_x000d__x000a_        &amp;lt;DecisionDisplayName&amp;gt;פסק דין  שניתנה ע&amp;quot;י  ג&amp;#39;מילה ג&amp;#39;בארין כליפה&amp;lt;/DecisionDisplayName&amp;gt;_x000d__x000a_        &amp;lt;IsScanned&amp;gt;false&amp;lt;/IsScanned&amp;gt;_x000d__x000a_        &amp;lt;DecisionSignatureUserName&amp;gt;ג&amp;#39;מילה ג&amp;#39;בארין כליפ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7536712&amp;lt;/DecisionID&amp;gt;_x000d__x000a_        &amp;lt;CaseID&amp;gt;77490175&amp;lt;/CaseID&amp;gt;_x000d__x000a_        &amp;lt;IsOriginal&amp;gt;true&amp;lt;/IsOriginal&amp;gt;_x000d__x000a_        &amp;lt;IsDeleted&amp;gt;false&amp;lt;/IsDeleted&amp;gt;_x000d__x000a_        &amp;lt;CaseName&amp;gt;הירש ואח&amp;#39; נ&amp;#39; הירש ואח&amp;#39;&amp;lt;/CaseName&amp;gt;_x000d__x000a_        &amp;lt;CaseDisplayIdentifier&amp;gt;42461-06-20 ת&amp;quot;ב&amp;lt;/CaseDisplayIdentifier&amp;gt;_x000d__x000a_      &amp;lt;/dt_DecisionCase&amp;gt;_x000d__x000a_    &amp;lt;/DecisionDS&amp;gt;_x000d__x000a_  &amp;lt;/diffgr:diffgram&amp;gt;_x000d__x000a_&amp;lt;/DecisionDS&amp;gt;"/>
    <w:docVar w:name="DecisionID" w:val="147536712"/>
    <w:docVar w:name="WordClientAssemblyName" w:val="NGCS.Decision.ClientWordBL"/>
    <w:docVar w:name="WordClientClassName" w:val="NGCS.Decision.ClientWordBL.DecisionClient"/>
  </w:docVars>
  <w:rsids>
    <w:rsidRoot w:val="00694556"/>
    <w:rsid w:val="000033F8"/>
    <w:rsid w:val="00005C8B"/>
    <w:rsid w:val="000110A3"/>
    <w:rsid w:val="000146C2"/>
    <w:rsid w:val="00016C35"/>
    <w:rsid w:val="000258FD"/>
    <w:rsid w:val="000375DD"/>
    <w:rsid w:val="00043A3F"/>
    <w:rsid w:val="0004554E"/>
    <w:rsid w:val="0005089D"/>
    <w:rsid w:val="000564AB"/>
    <w:rsid w:val="00057AEB"/>
    <w:rsid w:val="00076ECF"/>
    <w:rsid w:val="00081598"/>
    <w:rsid w:val="00083248"/>
    <w:rsid w:val="00086E45"/>
    <w:rsid w:val="000A3F8C"/>
    <w:rsid w:val="000A5897"/>
    <w:rsid w:val="000C263E"/>
    <w:rsid w:val="000D4A02"/>
    <w:rsid w:val="000E0C19"/>
    <w:rsid w:val="000E7421"/>
    <w:rsid w:val="00100E19"/>
    <w:rsid w:val="001072A9"/>
    <w:rsid w:val="0011052E"/>
    <w:rsid w:val="00111528"/>
    <w:rsid w:val="001150EC"/>
    <w:rsid w:val="00115B74"/>
    <w:rsid w:val="00115CE8"/>
    <w:rsid w:val="00121F97"/>
    <w:rsid w:val="001277D7"/>
    <w:rsid w:val="00130DF8"/>
    <w:rsid w:val="00130E6D"/>
    <w:rsid w:val="00132017"/>
    <w:rsid w:val="0013441D"/>
    <w:rsid w:val="00134D2E"/>
    <w:rsid w:val="0013508B"/>
    <w:rsid w:val="0014234E"/>
    <w:rsid w:val="0014309A"/>
    <w:rsid w:val="001446C5"/>
    <w:rsid w:val="00145A87"/>
    <w:rsid w:val="00146385"/>
    <w:rsid w:val="001539C5"/>
    <w:rsid w:val="0015419F"/>
    <w:rsid w:val="00170C17"/>
    <w:rsid w:val="00173EB3"/>
    <w:rsid w:val="0018300B"/>
    <w:rsid w:val="001C4003"/>
    <w:rsid w:val="001D3731"/>
    <w:rsid w:val="001D58E1"/>
    <w:rsid w:val="001D5AF7"/>
    <w:rsid w:val="001F1011"/>
    <w:rsid w:val="001F5474"/>
    <w:rsid w:val="00200645"/>
    <w:rsid w:val="00205346"/>
    <w:rsid w:val="0022022D"/>
    <w:rsid w:val="002352F7"/>
    <w:rsid w:val="0024558C"/>
    <w:rsid w:val="0024695C"/>
    <w:rsid w:val="00250C9C"/>
    <w:rsid w:val="0026313F"/>
    <w:rsid w:val="0027277D"/>
    <w:rsid w:val="00272786"/>
    <w:rsid w:val="00275AEC"/>
    <w:rsid w:val="002931B7"/>
    <w:rsid w:val="00293EDD"/>
    <w:rsid w:val="002A3C34"/>
    <w:rsid w:val="002B034B"/>
    <w:rsid w:val="002B2414"/>
    <w:rsid w:val="002B2741"/>
    <w:rsid w:val="002D37A6"/>
    <w:rsid w:val="002D54DA"/>
    <w:rsid w:val="002D5FA0"/>
    <w:rsid w:val="002E2DF7"/>
    <w:rsid w:val="002E4A5B"/>
    <w:rsid w:val="002E6252"/>
    <w:rsid w:val="002E7C3C"/>
    <w:rsid w:val="00305441"/>
    <w:rsid w:val="0031596A"/>
    <w:rsid w:val="00315A47"/>
    <w:rsid w:val="00322493"/>
    <w:rsid w:val="00333872"/>
    <w:rsid w:val="003502C6"/>
    <w:rsid w:val="0035579D"/>
    <w:rsid w:val="00371355"/>
    <w:rsid w:val="00376B97"/>
    <w:rsid w:val="003813F7"/>
    <w:rsid w:val="00381D3A"/>
    <w:rsid w:val="003823DA"/>
    <w:rsid w:val="00382E05"/>
    <w:rsid w:val="003A3158"/>
    <w:rsid w:val="003B386F"/>
    <w:rsid w:val="003B6AA0"/>
    <w:rsid w:val="003E3DF5"/>
    <w:rsid w:val="0040142D"/>
    <w:rsid w:val="00402D6C"/>
    <w:rsid w:val="00405DD9"/>
    <w:rsid w:val="00411747"/>
    <w:rsid w:val="00414E9C"/>
    <w:rsid w:val="00422AAF"/>
    <w:rsid w:val="0042326D"/>
    <w:rsid w:val="00431D36"/>
    <w:rsid w:val="00432471"/>
    <w:rsid w:val="0043595F"/>
    <w:rsid w:val="00454ECA"/>
    <w:rsid w:val="00467C20"/>
    <w:rsid w:val="00475CCB"/>
    <w:rsid w:val="0047645A"/>
    <w:rsid w:val="0047729D"/>
    <w:rsid w:val="0048163C"/>
    <w:rsid w:val="00482E42"/>
    <w:rsid w:val="00490706"/>
    <w:rsid w:val="004B733C"/>
    <w:rsid w:val="004C3343"/>
    <w:rsid w:val="004C5626"/>
    <w:rsid w:val="004D49A3"/>
    <w:rsid w:val="004D50AC"/>
    <w:rsid w:val="004E6E3C"/>
    <w:rsid w:val="004F7D4B"/>
    <w:rsid w:val="0050303B"/>
    <w:rsid w:val="005124F1"/>
    <w:rsid w:val="0051526B"/>
    <w:rsid w:val="005179EE"/>
    <w:rsid w:val="00523DAB"/>
    <w:rsid w:val="00530BAD"/>
    <w:rsid w:val="00541598"/>
    <w:rsid w:val="005471CD"/>
    <w:rsid w:val="00547DB7"/>
    <w:rsid w:val="00564D98"/>
    <w:rsid w:val="00567324"/>
    <w:rsid w:val="00576D29"/>
    <w:rsid w:val="0059402D"/>
    <w:rsid w:val="005A0BF4"/>
    <w:rsid w:val="005A3919"/>
    <w:rsid w:val="005B0F49"/>
    <w:rsid w:val="005B4068"/>
    <w:rsid w:val="005C7EC6"/>
    <w:rsid w:val="005D0332"/>
    <w:rsid w:val="005D4223"/>
    <w:rsid w:val="005D4BDB"/>
    <w:rsid w:val="005D4E8C"/>
    <w:rsid w:val="00614213"/>
    <w:rsid w:val="0061765C"/>
    <w:rsid w:val="0062269F"/>
    <w:rsid w:val="00622BAA"/>
    <w:rsid w:val="00625C89"/>
    <w:rsid w:val="00633C4F"/>
    <w:rsid w:val="00643A71"/>
    <w:rsid w:val="00654972"/>
    <w:rsid w:val="0066074D"/>
    <w:rsid w:val="00671BD5"/>
    <w:rsid w:val="006752B0"/>
    <w:rsid w:val="006805C1"/>
    <w:rsid w:val="006816EC"/>
    <w:rsid w:val="00694556"/>
    <w:rsid w:val="006A35F3"/>
    <w:rsid w:val="006A40DE"/>
    <w:rsid w:val="006C3E0F"/>
    <w:rsid w:val="006D6F7A"/>
    <w:rsid w:val="006E1A53"/>
    <w:rsid w:val="006E27D6"/>
    <w:rsid w:val="006E66DA"/>
    <w:rsid w:val="007056AA"/>
    <w:rsid w:val="00705F5B"/>
    <w:rsid w:val="00717CE5"/>
    <w:rsid w:val="007365E3"/>
    <w:rsid w:val="00744F41"/>
    <w:rsid w:val="00745AA7"/>
    <w:rsid w:val="0074612A"/>
    <w:rsid w:val="00777062"/>
    <w:rsid w:val="0079005C"/>
    <w:rsid w:val="007A24FE"/>
    <w:rsid w:val="007A35AA"/>
    <w:rsid w:val="007B5559"/>
    <w:rsid w:val="007D6397"/>
    <w:rsid w:val="007D6A88"/>
    <w:rsid w:val="007F1048"/>
    <w:rsid w:val="008051E3"/>
    <w:rsid w:val="0080757F"/>
    <w:rsid w:val="00820005"/>
    <w:rsid w:val="00846D27"/>
    <w:rsid w:val="008551B8"/>
    <w:rsid w:val="008610A7"/>
    <w:rsid w:val="00876ED6"/>
    <w:rsid w:val="00882E39"/>
    <w:rsid w:val="00893D05"/>
    <w:rsid w:val="00895DC7"/>
    <w:rsid w:val="008A69C6"/>
    <w:rsid w:val="008D2692"/>
    <w:rsid w:val="008E1332"/>
    <w:rsid w:val="00903896"/>
    <w:rsid w:val="00912DF3"/>
    <w:rsid w:val="00913167"/>
    <w:rsid w:val="00914F56"/>
    <w:rsid w:val="00927813"/>
    <w:rsid w:val="00930F43"/>
    <w:rsid w:val="009335A9"/>
    <w:rsid w:val="00942529"/>
    <w:rsid w:val="00944D13"/>
    <w:rsid w:val="00945E42"/>
    <w:rsid w:val="00946959"/>
    <w:rsid w:val="00951786"/>
    <w:rsid w:val="00954638"/>
    <w:rsid w:val="00957C90"/>
    <w:rsid w:val="009623EB"/>
    <w:rsid w:val="00984059"/>
    <w:rsid w:val="00985811"/>
    <w:rsid w:val="00991F93"/>
    <w:rsid w:val="009A5DF5"/>
    <w:rsid w:val="009B6914"/>
    <w:rsid w:val="009B70F6"/>
    <w:rsid w:val="009C358E"/>
    <w:rsid w:val="009D3F71"/>
    <w:rsid w:val="009E0263"/>
    <w:rsid w:val="009E3620"/>
    <w:rsid w:val="009F1523"/>
    <w:rsid w:val="00A17B8D"/>
    <w:rsid w:val="00A267CF"/>
    <w:rsid w:val="00A26E28"/>
    <w:rsid w:val="00A31FEE"/>
    <w:rsid w:val="00A342BD"/>
    <w:rsid w:val="00A37669"/>
    <w:rsid w:val="00A40F99"/>
    <w:rsid w:val="00A43458"/>
    <w:rsid w:val="00A610A0"/>
    <w:rsid w:val="00A728B5"/>
    <w:rsid w:val="00A96BB2"/>
    <w:rsid w:val="00AB375F"/>
    <w:rsid w:val="00AC278D"/>
    <w:rsid w:val="00AC4E19"/>
    <w:rsid w:val="00AD0C3F"/>
    <w:rsid w:val="00AE5AC6"/>
    <w:rsid w:val="00AE71E0"/>
    <w:rsid w:val="00AF02B4"/>
    <w:rsid w:val="00AF11E7"/>
    <w:rsid w:val="00AF1ED6"/>
    <w:rsid w:val="00AF43A6"/>
    <w:rsid w:val="00B11147"/>
    <w:rsid w:val="00B27CB0"/>
    <w:rsid w:val="00B32C61"/>
    <w:rsid w:val="00B368FE"/>
    <w:rsid w:val="00B42F8A"/>
    <w:rsid w:val="00B43761"/>
    <w:rsid w:val="00B76A4B"/>
    <w:rsid w:val="00B80CBD"/>
    <w:rsid w:val="00B876B8"/>
    <w:rsid w:val="00BC3369"/>
    <w:rsid w:val="00BD0441"/>
    <w:rsid w:val="00BD2D75"/>
    <w:rsid w:val="00BE0052"/>
    <w:rsid w:val="00BE4F39"/>
    <w:rsid w:val="00BF3D5D"/>
    <w:rsid w:val="00BF77EE"/>
    <w:rsid w:val="00C03449"/>
    <w:rsid w:val="00C04F83"/>
    <w:rsid w:val="00C06D3A"/>
    <w:rsid w:val="00C139DB"/>
    <w:rsid w:val="00C13EF2"/>
    <w:rsid w:val="00C26E68"/>
    <w:rsid w:val="00C313EE"/>
    <w:rsid w:val="00C32E0F"/>
    <w:rsid w:val="00C357B5"/>
    <w:rsid w:val="00C42BF9"/>
    <w:rsid w:val="00C53578"/>
    <w:rsid w:val="00C65FA5"/>
    <w:rsid w:val="00C83E56"/>
    <w:rsid w:val="00CA08BC"/>
    <w:rsid w:val="00CA5A6A"/>
    <w:rsid w:val="00CA656D"/>
    <w:rsid w:val="00CC63CE"/>
    <w:rsid w:val="00CE49E4"/>
    <w:rsid w:val="00D02678"/>
    <w:rsid w:val="00D14465"/>
    <w:rsid w:val="00D24782"/>
    <w:rsid w:val="00D268BA"/>
    <w:rsid w:val="00D319B3"/>
    <w:rsid w:val="00D36A71"/>
    <w:rsid w:val="00D43BBC"/>
    <w:rsid w:val="00D53924"/>
    <w:rsid w:val="00D5696F"/>
    <w:rsid w:val="00D60849"/>
    <w:rsid w:val="00D74DD6"/>
    <w:rsid w:val="00D802E7"/>
    <w:rsid w:val="00D96558"/>
    <w:rsid w:val="00D96D8C"/>
    <w:rsid w:val="00D96E6F"/>
    <w:rsid w:val="00DA7069"/>
    <w:rsid w:val="00DA755B"/>
    <w:rsid w:val="00DB2395"/>
    <w:rsid w:val="00DC3708"/>
    <w:rsid w:val="00DD337E"/>
    <w:rsid w:val="00DD6F3F"/>
    <w:rsid w:val="00DE24C4"/>
    <w:rsid w:val="00E00B6F"/>
    <w:rsid w:val="00E35E6C"/>
    <w:rsid w:val="00E370AB"/>
    <w:rsid w:val="00E447FE"/>
    <w:rsid w:val="00E44875"/>
    <w:rsid w:val="00E44DDF"/>
    <w:rsid w:val="00E5045D"/>
    <w:rsid w:val="00E54642"/>
    <w:rsid w:val="00E559C4"/>
    <w:rsid w:val="00E608D7"/>
    <w:rsid w:val="00E837A9"/>
    <w:rsid w:val="00E84BA3"/>
    <w:rsid w:val="00E85496"/>
    <w:rsid w:val="00E93346"/>
    <w:rsid w:val="00E97908"/>
    <w:rsid w:val="00EA0BF8"/>
    <w:rsid w:val="00EA5CCB"/>
    <w:rsid w:val="00EB01EC"/>
    <w:rsid w:val="00EE3C86"/>
    <w:rsid w:val="00EE4F93"/>
    <w:rsid w:val="00EE666D"/>
    <w:rsid w:val="00EF3ED0"/>
    <w:rsid w:val="00EF7D5F"/>
    <w:rsid w:val="00F021FD"/>
    <w:rsid w:val="00F15AC3"/>
    <w:rsid w:val="00F17E56"/>
    <w:rsid w:val="00F257D2"/>
    <w:rsid w:val="00F4065D"/>
    <w:rsid w:val="00F560F3"/>
    <w:rsid w:val="00F56B92"/>
    <w:rsid w:val="00F90773"/>
    <w:rsid w:val="00F90D42"/>
    <w:rsid w:val="00F94A34"/>
    <w:rsid w:val="00F94E25"/>
    <w:rsid w:val="00FA262F"/>
    <w:rsid w:val="00FB3C14"/>
    <w:rsid w:val="00FD5643"/>
    <w:rsid w:val="00FD74BF"/>
    <w:rsid w:val="00FE0EA5"/>
    <w:rsid w:val="00FF045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semiHidden/>
    <w:rsid w:val="00C64423"/>
    <w:rPr>
      <w:rFonts w:ascii="Tahoma" w:hAnsi="Tahoma" w:cs="Tahoma"/>
      <w:sz w:val="16"/>
      <w:szCs w:val="16"/>
    </w:rPr>
  </w:style>
  <w:style w:type="table" w:styleId="ab">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0"/>
    <w:rsid w:val="00C64423"/>
  </w:style>
  <w:style w:type="character" w:styleId="ad">
    <w:name w:val="page number"/>
    <w:basedOn w:val="a0"/>
    <w:rsid w:val="00C64423"/>
  </w:style>
  <w:style w:type="table" w:customStyle="1" w:styleId="1">
    <w:name w:val="טבלת רשת1"/>
    <w:basedOn w:val="a1"/>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957C90"/>
    <w:rPr>
      <w:color w:val="808080"/>
    </w:rPr>
  </w:style>
  <w:style w:type="character" w:customStyle="1" w:styleId="a4">
    <w:name w:val="כותרת עליונה תו"/>
    <w:basedOn w:val="a0"/>
    <w:link w:val="a3"/>
    <w:uiPriority w:val="99"/>
    <w:rsid w:val="005D4E8C"/>
    <w:rPr>
      <w:rFonts w:cs="David"/>
      <w:noProof/>
      <w:sz w:val="24"/>
      <w:szCs w:val="24"/>
    </w:rPr>
  </w:style>
  <w:style w:type="character" w:customStyle="1" w:styleId="a6">
    <w:name w:val="כותרת תחתונה תו"/>
    <w:basedOn w:val="a0"/>
    <w:link w:val="a5"/>
    <w:uiPriority w:val="99"/>
    <w:rsid w:val="005D4E8C"/>
    <w:rPr>
      <w:rFonts w:cs="David"/>
      <w:noProof/>
      <w:sz w:val="24"/>
      <w:szCs w:val="24"/>
    </w:rPr>
  </w:style>
  <w:style w:type="paragraph" w:styleId="af">
    <w:name w:val="List Paragraph"/>
    <w:basedOn w:val="a"/>
    <w:uiPriority w:val="34"/>
    <w:qFormat/>
    <w:rsid w:val="005D4E8C"/>
    <w:pPr>
      <w:spacing w:after="160" w:line="259"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unhideWhenUsed/>
    <w:rsid w:val="005D4E8C"/>
    <w:rPr>
      <w:color w:val="0000FF"/>
      <w:u w:val="single"/>
    </w:rPr>
  </w:style>
  <w:style w:type="paragraph" w:customStyle="1" w:styleId="ruller4">
    <w:name w:val="ruller4"/>
    <w:basedOn w:val="a"/>
    <w:rsid w:val="005D4E8C"/>
    <w:pPr>
      <w:overflowPunct w:val="0"/>
      <w:autoSpaceDE w:val="0"/>
      <w:autoSpaceDN w:val="0"/>
      <w:spacing w:line="360" w:lineRule="auto"/>
      <w:jc w:val="both"/>
    </w:pPr>
    <w:rPr>
      <w:rFonts w:ascii="Arial TUR" w:hAnsi="Arial TUR" w:cs="Arial TUR"/>
      <w:noProof w:val="0"/>
      <w:spacing w:val="10"/>
      <w:sz w:val="22"/>
      <w:szCs w:val="22"/>
      <w:lang w:eastAsia="he-IL"/>
    </w:rPr>
  </w:style>
  <w:style w:type="paragraph" w:styleId="NormalWeb">
    <w:name w:val="Normal (Web)"/>
    <w:basedOn w:val="a"/>
    <w:uiPriority w:val="99"/>
    <w:semiHidden/>
    <w:unhideWhenUsed/>
    <w:rsid w:val="005D4E8C"/>
    <w:pPr>
      <w:bidi w:val="0"/>
      <w:spacing w:before="100" w:beforeAutospacing="1" w:after="100" w:afterAutospacing="1"/>
    </w:pPr>
    <w:rPr>
      <w:rFonts w:cs="Times New Roman"/>
      <w:noProof w:val="0"/>
    </w:rPr>
  </w:style>
  <w:style w:type="character" w:customStyle="1" w:styleId="highlight">
    <w:name w:val="highlight"/>
    <w:basedOn w:val="a0"/>
    <w:rsid w:val="005D4E8C"/>
  </w:style>
  <w:style w:type="character" w:styleId="FollowedHyperlink">
    <w:name w:val="FollowedHyperlink"/>
    <w:basedOn w:val="a0"/>
    <w:uiPriority w:val="99"/>
    <w:semiHidden/>
    <w:unhideWhenUsed/>
    <w:rsid w:val="005D4E8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nevo.co.il/psika_html/elyon/14019410-m02.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EA6AB9"/>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דוד דרעי</FullName>
        <FirstName>דוד</FirstName>
        <LastName>דרעי</LastName>
        <PartyPropertyName/>
        <AuthenticationTypeAndNumber>מ.ר. 12683</AuthenticationTypeAndNumber>
        <RepresentatedOrRepresentativesNames>דב הירש</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212760336</CasePartyID>
        <PartyTypeID>2</PartyTypeID>
        <ActivityStatusID>1</ActivityStatusID>
        <PartyAliasID>23</PartyAliasID>
        <PartyAliasName>בא כוח משיבים</PartyAliasName>
        <LegalEntityID>381616</LegalEntityID>
        <CaseLegalEntityID>111320746</CaseLegalEntityID>
        <AuthenticationTypeID>4</AuthenticationTypeID>
        <AuthenticationTypeName>מ.ר.</AuthenticationTypeName>
        <LegalEntityNumber>12683</LegalEntityNumber>
        <IsMainPartyType>true</IsMainPartyType>
        <CaseDisplayIdentifier>42461-06-20</CaseDisplayIdentifier>
        <CaseTypeID>10047</CaseTypeID>
        <CaseTypeName>תביעות בוררות (ת"ב)</CaseTypeName>
        <CaseName>הירש ואח' נ' הירש ואח'</CaseName>
        <FullAddress>שמעון בן שטח 11 תל אביב -יפו </FullAddress>
        <EmailAddress>davidderi@yahoo.com</EmailAddress>
        <MotionID>0</MotionID>
        <CasePleaID>0</CasePleaID>
        <FatherName xml:space="preserve">        </FatherName>
        <LinkedCaseID>0</LinkedCaseID>
        <PartyID>2</PartyID>
        <CasePartyCategoryID>2</CasePartyCategoryID>
        <LegalEntityAddressID>88089879</LegalEntityAddressID>
        <LegalEntityEmailAddressID>68044304</LegalEntityEmailAddressID>
        <PleaTypeID>5</PleaTypeID>
        <LawyerOfficeName>משרד עו"ד: דוד דרעי</LawyerOfficeName>
        <LawyerOfficeID>422260</LawyerOfficeID>
        <GroupPartyAlias/>
        <IsConverted>false</IsConverted>
        <LegalEntityNameID>59168395</LegalEntityNameID>
        <RepresentatedNamesOfAssistant/>
        <LegalEntityTypeID>4</LegalEntityTypeID>
        <IsVerdictExists>false</IsVerdictExists>
        <IsAsirAzir>false</IsAsirAzir>
        <IsPublicationProhibited>false</IsPublicationProhibited>
        <PublicationProhibitedFullName>דוד דרעי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מרדכי נבון</FullName>
        <FirstName>מרדכי</FirstName>
        <LastName>נבון</LastName>
        <PartyPropertyName/>
        <AuthenticationTypeAndNumber>מ.ר. 12008</AuthenticationTypeAndNumber>
        <RepresentatedOrRepresentativesNames>דורינה קורין הירש</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212761811</CasePartyID>
        <PartyTypeID>2</PartyTypeID>
        <ActivityStatusID>1</ActivityStatusID>
        <PartyAliasID>23</PartyAliasID>
        <PartyAliasName>בא כוח משיבים</PartyAliasName>
        <LegalEntityID>382709</LegalEntityID>
        <CaseLegalEntityID>111321086</CaseLegalEntityID>
        <AuthenticationTypeID>4</AuthenticationTypeID>
        <AuthenticationTypeName>מ.ר.</AuthenticationTypeName>
        <LegalEntityNumber>12008</LegalEntityNumber>
        <IsMainPartyType>true</IsMainPartyType>
        <CaseDisplayIdentifier>42461-06-20</CaseDisplayIdentifier>
        <CaseTypeID>10047</CaseTypeID>
        <CaseTypeName>תביעות בוררות (ת"ב)</CaseTypeName>
        <CaseName>הירש ואח' נ' הירש ואח'</CaseName>
        <FullAddress>קהילת ציון 5 עפולה </FullAddress>
        <EmailAddress>navonmotilaw@outlook.com</EmailAddress>
        <MotionID>0</MotionID>
        <CasePleaID>0</CasePleaID>
        <LinkedCaseID>0</LinkedCaseID>
        <PartyID>2</PartyID>
        <CasePartyCategoryID>2</CasePartyCategoryID>
        <LegalEntityAddressID>83905622</LegalEntityAddressID>
        <LegalEntityEmailAddressID>68064760</LegalEntityEmailAddressID>
        <PleaTypeID>5</PleaTypeID>
        <LawyerOfficeName>משרד עו"ד: מרדכי נבון</LawyerOfficeName>
        <LawyerOfficeID>423353</LawyerOfficeID>
        <GroupPartyAlias/>
        <IsConverted>false</IsConverted>
        <LegalEntityNameID>3693</LegalEntityNameID>
        <RepresentatedNamesOfAssistant/>
        <LegalEntityTypeID>4</LegalEntityTypeID>
        <IsVerdictExists>false</IsVerdictExists>
        <IsAsirAzir>false</IsAsirAzir>
        <IsPublicationProhibited>false</IsPublicationProhibited>
        <PublicationProhibitedFullName>מרדכי נבון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איתן הירש</FullName>
        <FirstName>איתן</FirstName>
        <LastName>הירש</LastName>
        <PartyPropertyName/>
        <AuthenticationTypeAndNumber>ת"ז 051372662</AuthenticationTypeAndNumber>
        <RepresentatedOrRepresentativesNames>יוחאי בטשא</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212700518</CasePartyID>
        <PartyTypeID>1</PartyTypeID>
        <ActivityStatusID>1</ActivityStatusID>
        <PartyAliasID>3</PartyAliasID>
        <PartyAliasName>מבקש</PartyAliasName>
        <OrdinalNumber>1</OrdinalNumber>
        <LegalEntityID>2351096</LegalEntityID>
        <CaseLegalEntityID>111302771</CaseLegalEntityID>
        <AuthenticationTypeID>1</AuthenticationTypeID>
        <AuthenticationTypeName>ת"ז</AuthenticationTypeName>
        <LegalEntityNumber>051372662</LegalEntityNumber>
        <IsMainPartyType>true</IsMainPartyType>
        <CaseDisplayIdentifier>42461-06-20</CaseDisplayIdentifier>
        <CaseTypeID>10047</CaseTypeID>
        <CaseTypeName>תביעות בוררות (ת"ב)</CaseTypeName>
        <CaseName>הירש ואח' נ' הירש ואח'</CaseName>
        <FullAddress/>
        <MotionID>0</MotionID>
        <CasePleaID>0</CasePleaID>
        <BirthDate>1952-05-04T00:00:00+03:00</BirthDate>
        <FatherName>אברהם   </FatherName>
        <LinkedCaseID>0</LinkedCaseID>
        <PartyID>1</PartyID>
        <CasePartyCategoryID>2</CasePartyCategoryID>
        <PleaTypeID>5</PleaTypeID>
        <GroupPartyAlias>מבקשים</GroupPartyAlias>
        <IsConverted>false</IsConverted>
        <LegalEntityRegisteredNameID>350884</LegalEntityRegisteredNameID>
        <LegalEntityNameID>89767905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איתן הירש</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יוחאי בטשא</FullName>
        <FirstName>יוחאי</FirstName>
        <LastName>בטשא</LastName>
        <PartyPropertyName/>
        <AuthenticationTypeAndNumber>מ.ר. 21892</AuthenticationTypeAndNumber>
        <RepresentatedOrRepresentativesNames>איתן הירש, שושנה הירש</RepresentatedOrRepresentativesNames>
        <RepresentatedOrRepresentativesCount>2</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212700520</CasePartyID>
        <PartyTypeID>2</PartyTypeID>
        <ActivityStatusID>1</ActivityStatusID>
        <PartyAliasID>22</PartyAliasID>
        <PartyAliasName>בא כוח מבקשים</PartyAliasName>
        <OrdinalNumber>1</OrdinalNumber>
        <LegalEntityID>401338</LegalEntityID>
        <CaseLegalEntityID>111302773</CaseLegalEntityID>
        <AuthenticationTypeID>4</AuthenticationTypeID>
        <AuthenticationTypeName>מ.ר.</AuthenticationTypeName>
        <LegalEntityNumber>21892</LegalEntityNumber>
        <IsMainPartyType>true</IsMainPartyType>
        <CaseDisplayIdentifier>42461-06-20</CaseDisplayIdentifier>
        <CaseTypeID>10047</CaseTypeID>
        <CaseTypeName>תביעות בוררות (ת"ב)</CaseTypeName>
        <CaseName>הירש ואח' נ' הירש ואח'</CaseName>
        <FullAddress/>
        <MotionID>0</MotionID>
        <CasePleaID>0</CasePleaID>
        <LinkedCaseID>0</LinkedCaseID>
        <PartyID>1</PartyID>
        <CasePartyCategoryID>2</CasePartyCategoryID>
        <PleaTypeID>5</PleaTypeID>
        <LawyerOfficeName>משרד עו"ד: יוחאי בטשא</LawyerOfficeName>
        <LawyerOfficeID>441982</LawyerOfficeID>
        <GroupPartyAlias/>
        <IsConverted>false</IsConverted>
        <LegalEntityNameID>22322</LegalEntityNameID>
        <RepresentatedNamesOfAssistant/>
        <LegalEntityTypeID>4</LegalEntityTypeID>
        <IsVerdictExists>false</IsVerdictExists>
        <IsAsirAzir>false</IsAsirAzir>
        <IsPublicationProhibited>false</IsPublicationProhibited>
        <PublicationProhibitedFullName>יוחאי בטשא</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דב הירש</FullName>
        <FirstName>דב</FirstName>
        <LastName>הירש</LastName>
        <PartyPropertyName/>
        <AuthenticationTypeAndNumber>ת"ז 038365391</AuthenticationTypeAndNumber>
        <RepresentatedOrRepresentativesNames>דוד דרעי</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212700521</CasePartyID>
        <PartyTypeID>1</PartyTypeID>
        <ActivityStatusID>1</ActivityStatusID>
        <PartyAliasID>4</PartyAliasID>
        <PartyAliasName>משיב</PartyAliasName>
        <OrdinalNumber>1</OrdinalNumber>
        <LegalEntityID>1853809</LegalEntityID>
        <CaseLegalEntityID>111302774</CaseLegalEntityID>
        <AuthenticationTypeID>1</AuthenticationTypeID>
        <AuthenticationTypeName>ת"ז</AuthenticationTypeName>
        <LegalEntityNumber>038365391</LegalEntityNumber>
        <IsMainPartyType>true</IsMainPartyType>
        <CaseDisplayIdentifier>42461-06-20</CaseDisplayIdentifier>
        <CaseTypeID>10047</CaseTypeID>
        <CaseTypeName>תביעות בוררות (ת"ב)</CaseTypeName>
        <CaseName>הירש ואח' נ' הירש ואח'</CaseName>
        <FullAddress>האביב 6 עפולה </FullAddress>
        <MotionID>0</MotionID>
        <CasePleaID>0</CasePleaID>
        <FatherName>איתן</FatherName>
        <LinkedCaseID>0</LinkedCaseID>
        <PartyID>2</PartyID>
        <CasePartyCategoryID>2</CasePartyCategoryID>
        <LegalEntityAddressID>84012089</LegalEntityAddressID>
        <PleaTypeID>5</PleaTypeID>
        <GroupPartyAlias>משיבים</GroupPartyAlias>
        <IsConverted>false</IsConverted>
        <LegalEntityRegisteredNameID>376835</LegalEntityRegisteredNameID>
        <LegalEntityNameID>89767907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 הירש</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שושנה הירש</FullName>
        <FirstName>שנטל שושנה</FirstName>
        <LastName>בנד</LastName>
        <PartyPropertyName/>
        <AuthenticationTypeAndNumber>ת"ז 063695555</AuthenticationTypeAndNumber>
        <RepresentatedOrRepresentativesNames>יוחאי בטשא</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212700519</CasePartyID>
        <PartyTypeID>1</PartyTypeID>
        <ActivityStatusID>1</ActivityStatusID>
        <PartyAliasID>3</PartyAliasID>
        <PartyAliasName>מבקש</PartyAliasName>
        <OrdinalNumber>2</OrdinalNumber>
        <LegalEntityID>2351097</LegalEntityID>
        <CaseLegalEntityID>111302772</CaseLegalEntityID>
        <AuthenticationTypeID>1</AuthenticationTypeID>
        <AuthenticationTypeName>ת"ז</AuthenticationTypeName>
        <LegalEntityNumber>063695555</LegalEntityNumber>
        <IsMainPartyType>true</IsMainPartyType>
        <CaseDisplayIdentifier>42461-06-20</CaseDisplayIdentifier>
        <CaseTypeID>10047</CaseTypeID>
        <CaseTypeName>תביעות בוררות (ת"ב)</CaseTypeName>
        <CaseName>הירש ואח' נ' הירש ואח'</CaseName>
        <FullAddress/>
        <MotionID>0</MotionID>
        <CasePleaID>0</CasePleaID>
        <FatherName>מרדכי</FatherName>
        <LinkedCaseID>0</LinkedCaseID>
        <PartyID>1</PartyID>
        <CasePartyCategoryID>2</CasePartyCategoryID>
        <PleaTypeID>5</PleaTypeID>
        <GroupPartyAlias>מבקשים</GroupPartyAlias>
        <IsConverted>false</IsConverted>
        <LegalEntityRegisteredNameID>9157230</LegalEntityRegisteredNameID>
        <LegalEntityNameID>89767906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הירש</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דורינה קורין הירש</FullName>
        <FirstName>דורינה</FirstName>
        <LastName>קורין הירש</LastName>
        <PartyPropertyName/>
        <AuthenticationTypeAndNumber>ת"ז 307281097</AuthenticationTypeAndNumber>
        <RepresentatedOrRepresentativesNames>מרדכי נבון</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212700522</CasePartyID>
        <PartyTypeID>1</PartyTypeID>
        <ActivityStatusID>1</ActivityStatusID>
        <PartyAliasID>4</PartyAliasID>
        <PartyAliasName>משיב</PartyAliasName>
        <OrdinalNumber>2</OrdinalNumber>
        <LegalEntityID>12673873</LegalEntityID>
        <CaseLegalEntityID>111302775</CaseLegalEntityID>
        <AuthenticationTypeID>1</AuthenticationTypeID>
        <AuthenticationTypeName>ת"ז</AuthenticationTypeName>
        <LegalEntityNumber>307281097</LegalEntityNumber>
        <IsMainPartyType>true</IsMainPartyType>
        <CaseDisplayIdentifier>42461-06-20</CaseDisplayIdentifier>
        <CaseTypeID>10047</CaseTypeID>
        <CaseTypeName>תביעות בוררות (ת"ב)</CaseTypeName>
        <CaseName>הירש ואח' נ' הירש ואח'</CaseName>
        <FullAddress>האביב 6 עפולה </FullAddress>
        <MotionID>0</MotionID>
        <CasePleaID>0</CasePleaID>
        <FatherName>איגור</FatherName>
        <LinkedCaseID>0</LinkedCaseID>
        <PartyID>2</PartyID>
        <CasePartyCategoryID>2</CasePartyCategoryID>
        <LegalEntityAddressID>84012090</LegalEntityAddressID>
        <PleaTypeID>5</PleaTypeID>
        <GroupPartyAlias>משיבים</GroupPartyAlias>
        <IsConverted>false</IsConverted>
        <LegalEntityRegisteredNameID>4795540</LegalEntityRegisteredNameID>
        <LegalEntityNameID>89767908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דורינה קורין הירש</PublicationProhibitedFullName>
      </CaseParties>
    </CasePartiesSelectionDS>
    <DecisionName>פסק דין  שניתנה ע"י  ג'מילה ג'בארין כליפה</DecisionName>
    <CourtDisplayName>בית משפט לענייני משפחה בנצרת</CourtDisplayName>
    <IsCaseJudgePanel>false</IsCaseJudgePanel>
    <DecisionSignatureDate>2023-10-15T09:01:05.0989694+03:00</DecisionSignatureDate>
    <OpenCaseDate>2020-06-17T11:44:00+03:00</OpenCaseDate>
    <CaseFeeSum>0.000</CaseFeeSum>
    <DecisionTypeID>2</DecisionTypeID>
    <DecisionSignatureUserName>ג'מילה ג'בארין כליפה</DecisionSignatureUserName>
    <DecisionSignatureDateHebrew>2023-10-15T09:01:05.0989694+03:00</DecisionSignatureDateHebrew>
    <DecisionWriterID>027529551@GOV.IL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הירש ואח' נ' הירש ואח'</CaseName>
    <DecisionNumberInCase>5</DecisionNumberInCase>
  </dt_Decision>
  <dt_DecisionCase>
    <DecisionID>0</DecisionID>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דוד דרעי</FullName>
        <FirstName>דוד</FirstName>
        <LastName>דרעי</LastName>
        <PartyPropertyName/>
        <AuthenticationTypeAndNumber>מ.ר. 12683</AuthenticationTypeAndNumber>
        <RepresentatedOrRepresentativesNames>דב הירש</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212760336</CasePartyID>
        <PartyTypeID>2</PartyTypeID>
        <ActivityStatusID>1</ActivityStatusID>
        <PartyAliasID>23</PartyAliasID>
        <PartyAliasName>בא כוח משיבים</PartyAliasName>
        <LegalEntityID>381616</LegalEntityID>
        <CaseLegalEntityID>111320746</CaseLegalEntityID>
        <AuthenticationTypeID>4</AuthenticationTypeID>
        <AuthenticationTypeName>מ.ר.</AuthenticationTypeName>
        <LegalEntityNumber>12683</LegalEntityNumber>
        <IsMainPartyType>true</IsMainPartyType>
        <CaseDisplayIdentifier>42461-06-20</CaseDisplayIdentifier>
        <CaseTypeID>10047</CaseTypeID>
        <CaseTypeName>תביעות בוררות (ת"ב)</CaseTypeName>
        <CaseName>הירש ואח' נ' הירש ואח'</CaseName>
        <FullAddress>שמעון בן שטח 11 תל אביב -יפו </FullAddress>
        <EmailAddress>davidderi@yahoo.com</EmailAddress>
        <MotionID>0</MotionID>
        <CasePleaID>0</CasePleaID>
        <FatherName xml:space="preserve">        </FatherName>
        <LinkedCaseID>0</LinkedCaseID>
        <PartyID>2</PartyID>
        <CasePartyCategoryID>2</CasePartyCategoryID>
        <LegalEntityAddressID>88089879</LegalEntityAddressID>
        <LegalEntityEmailAddressID>68044304</LegalEntityEmailAddressID>
        <PleaTypeID>5</PleaTypeID>
        <LawyerOfficeName>משרד עו"ד: דוד דרעי</LawyerOfficeName>
        <LawyerOfficeID>422260</LawyerOfficeID>
        <GroupPartyAlias/>
        <IsConverted>false</IsConverted>
        <LegalEntityNameID>59168395</LegalEntityNameID>
        <RepresentatedNamesOfAssistant/>
        <LegalEntityTypeID>4</LegalEntityTypeID>
        <IsVerdictExists>false</IsVerdictExists>
        <IsAsirAzir>false</IsAsirAzir>
        <IsPublicationProhibited>false</IsPublicationProhibited>
        <PublicationProhibitedFullName>דוד דרעי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מרדכי נבון</FullName>
        <FirstName>מרדכי</FirstName>
        <LastName>נבון</LastName>
        <PartyPropertyName/>
        <AuthenticationTypeAndNumber>מ.ר. 12008</AuthenticationTypeAndNumber>
        <RepresentatedOrRepresentativesNames>דורינה קורין הירש</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212761811</CasePartyID>
        <PartyTypeID>2</PartyTypeID>
        <ActivityStatusID>1</ActivityStatusID>
        <PartyAliasID>23</PartyAliasID>
        <PartyAliasName>בא כוח משיבים</PartyAliasName>
        <LegalEntityID>382709</LegalEntityID>
        <CaseLegalEntityID>111321086</CaseLegalEntityID>
        <AuthenticationTypeID>4</AuthenticationTypeID>
        <AuthenticationTypeName>מ.ר.</AuthenticationTypeName>
        <LegalEntityNumber>12008</LegalEntityNumber>
        <IsMainPartyType>true</IsMainPartyType>
        <CaseDisplayIdentifier>42461-06-20</CaseDisplayIdentifier>
        <CaseTypeID>10047</CaseTypeID>
        <CaseTypeName>תביעות בוררות (ת"ב)</CaseTypeName>
        <CaseName>הירש ואח' נ' הירש ואח'</CaseName>
        <FullAddress>קהילת ציון 5 עפולה </FullAddress>
        <EmailAddress>navonmotilaw@outlook.com</EmailAddress>
        <MotionID>0</MotionID>
        <CasePleaID>0</CasePleaID>
        <LinkedCaseID>0</LinkedCaseID>
        <PartyID>2</PartyID>
        <CasePartyCategoryID>2</CasePartyCategoryID>
        <LegalEntityAddressID>83905622</LegalEntityAddressID>
        <LegalEntityEmailAddressID>68064760</LegalEntityEmailAddressID>
        <PleaTypeID>5</PleaTypeID>
        <LawyerOfficeName>משרד עו"ד: מרדכי נבון</LawyerOfficeName>
        <LawyerOfficeID>423353</LawyerOfficeID>
        <GroupPartyAlias/>
        <IsConverted>false</IsConverted>
        <LegalEntityNameID>3693</LegalEntityNameID>
        <RepresentatedNamesOfAssistant/>
        <LegalEntityTypeID>4</LegalEntityTypeID>
        <IsVerdictExists>false</IsVerdictExists>
        <IsAsirAzir>false</IsAsirAzir>
        <IsPublicationProhibited>false</IsPublicationProhibited>
        <PublicationProhibitedFullName>מרדכי נבון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איתן הירש</FullName>
        <FirstName>איתן</FirstName>
        <LastName>הירש</LastName>
        <PartyPropertyName/>
        <AuthenticationTypeAndNumber>ת"ז 051372662</AuthenticationTypeAndNumber>
        <RepresentatedOrRepresentativesNames>יוחאי בטשא</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212700518</CasePartyID>
        <PartyTypeID>1</PartyTypeID>
        <ActivityStatusID>1</ActivityStatusID>
        <PartyAliasID>3</PartyAliasID>
        <PartyAliasName>מבקש</PartyAliasName>
        <OrdinalNumber>1</OrdinalNumber>
        <LegalEntityID>2351096</LegalEntityID>
        <CaseLegalEntityID>111302771</CaseLegalEntityID>
        <AuthenticationTypeID>1</AuthenticationTypeID>
        <AuthenticationTypeName>ת"ז</AuthenticationTypeName>
        <LegalEntityNumber>051372662</LegalEntityNumber>
        <IsMainPartyType>true</IsMainPartyType>
        <CaseDisplayIdentifier>42461-06-20</CaseDisplayIdentifier>
        <CaseTypeID>10047</CaseTypeID>
        <CaseTypeName>תביעות בוררות (ת"ב)</CaseTypeName>
        <CaseName>הירש ואח' נ' הירש ואח'</CaseName>
        <FullAddress/>
        <MotionID>0</MotionID>
        <CasePleaID>0</CasePleaID>
        <BirthDate>1952-05-04T00:00:00+03:00</BirthDate>
        <FatherName>אברהם   </FatherName>
        <LinkedCaseID>0</LinkedCaseID>
        <PartyID>1</PartyID>
        <CasePartyCategoryID>2</CasePartyCategoryID>
        <PleaTypeID>5</PleaTypeID>
        <GroupPartyAlias>מבקשים</GroupPartyAlias>
        <IsConverted>false</IsConverted>
        <LegalEntityRegisteredNameID>350884</LegalEntityRegisteredNameID>
        <LegalEntityNameID>89767905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איתן הירש</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יוחאי בטשא</FullName>
        <FirstName>יוחאי</FirstName>
        <LastName>בטשא</LastName>
        <PartyPropertyName/>
        <AuthenticationTypeAndNumber>מ.ר. 21892</AuthenticationTypeAndNumber>
        <RepresentatedOrRepresentativesNames>איתן הירש, שושנה הירש</RepresentatedOrRepresentativesNames>
        <RepresentatedOrRepresentativesCount>2</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212700520</CasePartyID>
        <PartyTypeID>2</PartyTypeID>
        <ActivityStatusID>1</ActivityStatusID>
        <PartyAliasID>22</PartyAliasID>
        <PartyAliasName>בא כוח מבקשים</PartyAliasName>
        <OrdinalNumber>1</OrdinalNumber>
        <LegalEntityID>401338</LegalEntityID>
        <CaseLegalEntityID>111302773</CaseLegalEntityID>
        <AuthenticationTypeID>4</AuthenticationTypeID>
        <AuthenticationTypeName>מ.ר.</AuthenticationTypeName>
        <LegalEntityNumber>21892</LegalEntityNumber>
        <IsMainPartyType>true</IsMainPartyType>
        <CaseDisplayIdentifier>42461-06-20</CaseDisplayIdentifier>
        <CaseTypeID>10047</CaseTypeID>
        <CaseTypeName>תביעות בוררות (ת"ב)</CaseTypeName>
        <CaseName>הירש ואח' נ' הירש ואח'</CaseName>
        <FullAddress/>
        <MotionID>0</MotionID>
        <CasePleaID>0</CasePleaID>
        <LinkedCaseID>0</LinkedCaseID>
        <PartyID>1</PartyID>
        <CasePartyCategoryID>2</CasePartyCategoryID>
        <PleaTypeID>5</PleaTypeID>
        <LawyerOfficeName>משרד עו"ד: יוחאי בטשא</LawyerOfficeName>
        <LawyerOfficeID>441982</LawyerOfficeID>
        <GroupPartyAlias/>
        <IsConverted>false</IsConverted>
        <LegalEntityNameID>22322</LegalEntityNameID>
        <RepresentatedNamesOfAssistant/>
        <LegalEntityTypeID>4</LegalEntityTypeID>
        <IsVerdictExists>false</IsVerdictExists>
        <IsAsirAzir>false</IsAsirAzir>
        <IsPublicationProhibited>false</IsPublicationProhibited>
        <PublicationProhibitedFullName>יוחאי בטשא</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דב הירש</FullName>
        <FirstName>דב</FirstName>
        <LastName>הירש</LastName>
        <PartyPropertyName/>
        <AuthenticationTypeAndNumber>ת"ז 038365391</AuthenticationTypeAndNumber>
        <RepresentatedOrRepresentativesNames>דוד דרעי</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212700521</CasePartyID>
        <PartyTypeID>1</PartyTypeID>
        <ActivityStatusID>1</ActivityStatusID>
        <PartyAliasID>4</PartyAliasID>
        <PartyAliasName>משיב</PartyAliasName>
        <OrdinalNumber>1</OrdinalNumber>
        <LegalEntityID>1853809</LegalEntityID>
        <CaseLegalEntityID>111302774</CaseLegalEntityID>
        <AuthenticationTypeID>1</AuthenticationTypeID>
        <AuthenticationTypeName>ת"ז</AuthenticationTypeName>
        <LegalEntityNumber>038365391</LegalEntityNumber>
        <IsMainPartyType>true</IsMainPartyType>
        <CaseDisplayIdentifier>42461-06-20</CaseDisplayIdentifier>
        <CaseTypeID>10047</CaseTypeID>
        <CaseTypeName>תביעות בוררות (ת"ב)</CaseTypeName>
        <CaseName>הירש ואח' נ' הירש ואח'</CaseName>
        <FullAddress>האביב 6 עפולה </FullAddress>
        <MotionID>0</MotionID>
        <CasePleaID>0</CasePleaID>
        <FatherName>איתן</FatherName>
        <LinkedCaseID>0</LinkedCaseID>
        <PartyID>2</PartyID>
        <CasePartyCategoryID>2</CasePartyCategoryID>
        <LegalEntityAddressID>84012089</LegalEntityAddressID>
        <PleaTypeID>5</PleaTypeID>
        <GroupPartyAlias>משיבים</GroupPartyAlias>
        <IsConverted>false</IsConverted>
        <LegalEntityRegisteredNameID>376835</LegalEntityRegisteredNameID>
        <LegalEntityNameID>89767907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 הירש</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שושנה הירש</FullName>
        <FirstName>שנטל שושנה</FirstName>
        <LastName>בנד</LastName>
        <PartyPropertyName/>
        <AuthenticationTypeAndNumber>ת"ז 063695555</AuthenticationTypeAndNumber>
        <RepresentatedOrRepresentativesNames>יוחאי בטשא</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212700519</CasePartyID>
        <PartyTypeID>1</PartyTypeID>
        <ActivityStatusID>1</ActivityStatusID>
        <PartyAliasID>3</PartyAliasID>
        <PartyAliasName>מבקש</PartyAliasName>
        <OrdinalNumber>2</OrdinalNumber>
        <LegalEntityID>2351097</LegalEntityID>
        <CaseLegalEntityID>111302772</CaseLegalEntityID>
        <AuthenticationTypeID>1</AuthenticationTypeID>
        <AuthenticationTypeName>ת"ז</AuthenticationTypeName>
        <LegalEntityNumber>063695555</LegalEntityNumber>
        <IsMainPartyType>true</IsMainPartyType>
        <CaseDisplayIdentifier>42461-06-20</CaseDisplayIdentifier>
        <CaseTypeID>10047</CaseTypeID>
        <CaseTypeName>תביעות בוררות (ת"ב)</CaseTypeName>
        <CaseName>הירש ואח' נ' הירש ואח'</CaseName>
        <FullAddress/>
        <MotionID>0</MotionID>
        <CasePleaID>0</CasePleaID>
        <FatherName>מרדכי</FatherName>
        <LinkedCaseID>0</LinkedCaseID>
        <PartyID>1</PartyID>
        <CasePartyCategoryID>2</CasePartyCategoryID>
        <PleaTypeID>5</PleaTypeID>
        <GroupPartyAlias>מבקשים</GroupPartyAlias>
        <IsConverted>false</IsConverted>
        <LegalEntityRegisteredNameID>9157230</LegalEntityRegisteredNameID>
        <LegalEntityNameID>89767906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הירש</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דורינה קורין הירש</FullName>
        <FirstName>דורינה</FirstName>
        <LastName>קורין הירש</LastName>
        <PartyPropertyName/>
        <AuthenticationTypeAndNumber>ת"ז 307281097</AuthenticationTypeAndNumber>
        <RepresentatedOrRepresentativesNames>מרדכי נבון</RepresentatedOrRepresentativesNames>
        <RepresentatedOrRepresentativesCount>1</RepresentatedOrRepresentativesCount>
        <InvitedBy/>
        <CaseID>77490175</CaseID>
        <CaseJudicialPersonPresentationDS>
          <CaseJudicalPersonActive>
            <CaseID>77490175</CaseID>
            <JudicialPersonID>027529551@GOV.IL</JudicialPersonID>
            <JudicialPersonTypeID>1</JudicialPersonTypeID>
            <JudicialTypeID>1</JudicialTypeID>
            <IsChairman>false</IsChairman>
            <TreatmentStartDate>2020-06-17T13:15:56.467+03:00</TreatmentStartDate>
            <TreatmentFinishDate>9999-12-31T23:59:59+02:00</TreatmentFinishDate>
            <IdentificationCardNumber>027529551</IdentificationCardNumber>
            <DisplayName>ג'מילה ג'בארין כליפה</DisplayName>
            <JudicialTypeName>שופט</JudicialTypeName>
            <CaseJudicialGroupNumber>0</CaseJudicialGroupNumber>
            <FirstName>ג'מילה</FirstName>
            <LastName>ג'בארין כליפה</LastName>
            <JudicialPersonTitle>שופט</JudicialPersonTitle>
          </CaseJudicalPersonActive>
        </CaseJudicialPersonPresentationDS>
        <CasePartyID>212700522</CasePartyID>
        <PartyTypeID>1</PartyTypeID>
        <ActivityStatusID>1</ActivityStatusID>
        <PartyAliasID>4</PartyAliasID>
        <PartyAliasName>משיב</PartyAliasName>
        <OrdinalNumber>2</OrdinalNumber>
        <LegalEntityID>12673873</LegalEntityID>
        <CaseLegalEntityID>111302775</CaseLegalEntityID>
        <AuthenticationTypeID>1</AuthenticationTypeID>
        <AuthenticationTypeName>ת"ז</AuthenticationTypeName>
        <LegalEntityNumber>307281097</LegalEntityNumber>
        <IsMainPartyType>true</IsMainPartyType>
        <CaseDisplayIdentifier>42461-06-20</CaseDisplayIdentifier>
        <CaseTypeID>10047</CaseTypeID>
        <CaseTypeName>תביעות בוררות (ת"ב)</CaseTypeName>
        <CaseName>הירש ואח' נ' הירש ואח'</CaseName>
        <FullAddress>האביב 6 עפולה </FullAddress>
        <MotionID>0</MotionID>
        <CasePleaID>0</CasePleaID>
        <FatherName>איגור</FatherName>
        <LinkedCaseID>0</LinkedCaseID>
        <PartyID>2</PartyID>
        <CasePartyCategoryID>2</CasePartyCategoryID>
        <LegalEntityAddressID>84012090</LegalEntityAddressID>
        <PleaTypeID>5</PleaTypeID>
        <GroupPartyAlias>משיבים</GroupPartyAlias>
        <IsConverted>false</IsConverted>
        <LegalEntityRegisteredNameID>4795540</LegalEntityRegisteredNameID>
        <LegalEntityNameID>89767908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דורינה קורין הירש</PublicationProhibitedFullName>
      </CaseParties>
    </CasePartiesSelectionDS>
    <CaseName>הירש ואח' נ' הירש ואח'</CaseName>
    <CaseDisplayIdentifier>42461-06-20</CaseDisplayIdentifier>
    <CaseInterestID>12</CaseInterestID>
    <CaseTypeShortName>ת"ב</CaseTypeShortName>
  </dt_DecisionCase>
  <dt_DecisionJudgePanel>
    <JudgeID>027529551@GOV.IL</JudgeID>
    <DisplayName>ג'מילה ג'בארין כליפה</DisplayName>
    <RoleName>שופט</RoleName>
    <UserTitleName>שופטת</UserTitleName>
  </dt_DecisionJudgePanel>
  <dt_LegalEntityDetails>
    <Fax>03-7429911</Fax>
    <Phone>03-7957444</Phone>
    <PartyID>2</PartyID>
    <PartyTypeID>2</PartyTypeID>
    <DecisionID>0</DecisionID>
    <StreetName>שמעון בן שטח 11</StreetName>
    <ZipCode>6802055</ZipCode>
    <CityName>תל אביב -יפו</CityName>
    <FullName>דוד דרעי</FullName>
    <Email>davidderi@yahoo.com</Email>
    <IsPublicationProhibited>false</IsPublicationProhibited>
  </dt_LegalEntityDetails>
  <dt_LegalEntityDetails>
    <Fax>04-6523310</Fax>
    <Phone>04-6592591</Phone>
    <PartyID>2</PartyID>
    <PartyTypeID>2</PartyTypeID>
    <DecisionID>0</DecisionID>
    <StreetName>קהילת ציון 5</StreetName>
    <ZipCode>1812601</ZipCode>
    <CityName>עפולה</CityName>
    <FullName>מרדכי נבון</FullName>
    <Email>navonmotilaw@outlook.com</Email>
    <IsPublicationProhibited>false</IsPublicationProhibited>
  </dt_LegalEntityDetails>
  <dt_LegalEntityDetails>
    <PartyID>1</PartyID>
    <PartyTypeID>1</PartyTypeID>
    <DecisionID>0</DecisionID>
    <FullName>איתן הירש</FullName>
    <IsPublicationProhibited>false</IsPublicationProhibited>
  </dt_LegalEntityDetails>
  <dt_LegalEntityDetails>
    <PartyID>1</PartyID>
    <PartyTypeID>2</PartyTypeID>
    <DecisionID>0</DecisionID>
    <FullName>יוחאי בטשא</FullName>
    <Email>office@k-b-law.co.il</Email>
    <IsPublicationProhibited>false</IsPublicationProhibited>
  </dt_LegalEntityDetails>
  <dt_LegalEntityDetails>
    <PartyID>2</PartyID>
    <PartyTypeID>1</PartyTypeID>
    <DecisionID>0</DecisionID>
    <StreetName>האביב 6</StreetName>
    <ZipCode>1832906</ZipCode>
    <CityName>עפולה</CityName>
    <FullName>דב הירש</FullName>
    <IsPublicationProhibited>false</IsPublicationProhibited>
  </dt_LegalEntityDetails>
  <dt_LegalEntityDetails>
    <PartyID>1</PartyID>
    <PartyTypeID>1</PartyTypeID>
    <DecisionID>0</DecisionID>
    <FullName>שושנה הירש</FullName>
    <IsPublicationProhibited>false</IsPublicationProhibited>
  </dt_LegalEntityDetails>
  <dt_LegalEntityDetails>
    <PartyID>2</PartyID>
    <PartyTypeID>1</PartyTypeID>
    <DecisionID>0</DecisionID>
    <StreetName>האביב 6</StreetName>
    <ZipCode>1832906</ZipCode>
    <CityName>עפולה</CityName>
    <FullName>דורינה קורין הירש</FullName>
    <IsPublicationProhibited>false</IsPublicationProhibited>
  </dt_LegalEntityDetails>
  <dt_CaseJudicalPersonActive>
    <CaseJudicalPerson>שופטת ג'מילה ג'בארין כליפה</CaseJudicalPerson>
  </dt_CaseJudicalPersonActive>
  <dt_Sitting>
    <PreviousMeetingDate>2022-10-20T11:30:00+03:00</PreviousMeetingDate>
    <PreviousSittingTypeID>2</PreviousSittingTypeID>
    <PreviousMeetingDisplayName>שופטת ג'מילה ג'בארין כליפה</PreviousMeetingDisplayName>
    <PreviousMeetingRoleName>שופט</PreviousMeetingRoleName>
    <PreviousMeetingUserTitleName>שופטת</PreviousMeetingUserTitleName>
    <PreviousMeetingUserUPN>027529551@GOV.IL</PreviousMeetingUserUPN>
  </dt_Sitting>
</DecisionTemplateDS>
</file>

<file path=customXml/itemProps1.xml><?xml version="1.0" encoding="utf-8"?>
<ds:datastoreItem xmlns:ds="http://schemas.openxmlformats.org/officeDocument/2006/customXml" ds:itemID="{F871B41F-9313-4A54-AAD8-8FE07360A5E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8840</Words>
  <Characters>44201</Characters>
  <Application>Microsoft Office Word</Application>
  <DocSecurity>0</DocSecurity>
  <Lines>368</Lines>
  <Paragraphs>105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2023-10-25T05:50:00Z</cp:lastPrinted>
  <dcterms:created xsi:type="dcterms:W3CDTF">2023-11-08T11:28:00Z</dcterms:created>
  <dcterms:modified xsi:type="dcterms:W3CDTF">2023-11-08T11:28:00Z</dcterms:modified>
</cp:coreProperties>
</file>